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400B84" w14:textId="5608932F" w:rsidR="00B35DF8" w:rsidRPr="000803EA" w:rsidRDefault="00B35DF8" w:rsidP="00184745">
      <w:pPr>
        <w:spacing w:before="240"/>
        <w:rPr>
          <w:rFonts w:cstheme="minorHAnsi"/>
          <w:b/>
          <w:bCs/>
          <w:sz w:val="32"/>
          <w:szCs w:val="32"/>
        </w:rPr>
      </w:pPr>
      <w:r w:rsidRPr="00B35DF8">
        <w:rPr>
          <w:rFonts w:ascii="Segoe UI Emoji" w:hAnsi="Segoe UI Emoji" w:cs="Segoe UI Emoji"/>
          <w:sz w:val="32"/>
          <w:szCs w:val="32"/>
        </w:rPr>
        <w:t>🟩</w:t>
      </w:r>
      <w:r w:rsidRPr="00B35DF8">
        <w:rPr>
          <w:rFonts w:cstheme="minorHAnsi"/>
          <w:sz w:val="32"/>
          <w:szCs w:val="32"/>
        </w:rPr>
        <w:t xml:space="preserve"> </w:t>
      </w:r>
      <w:r w:rsidR="000803EA" w:rsidRPr="000803EA">
        <w:rPr>
          <w:rFonts w:cstheme="minorHAnsi"/>
          <w:b/>
          <w:bCs/>
          <w:sz w:val="32"/>
          <w:szCs w:val="32"/>
        </w:rPr>
        <w:t>THIS WEEK</w:t>
      </w:r>
      <w:r w:rsidRPr="00B35DF8">
        <w:rPr>
          <w:rFonts w:cstheme="minorHAnsi"/>
          <w:b/>
          <w:bCs/>
          <w:sz w:val="32"/>
          <w:szCs w:val="32"/>
        </w:rPr>
        <w:t xml:space="preserve"> at KTS</w:t>
      </w:r>
    </w:p>
    <w:p w14:paraId="0F069016" w14:textId="11E4021F" w:rsidR="00B35DF8" w:rsidRPr="00B35DF8" w:rsidRDefault="00B35DF8" w:rsidP="00B35DF8">
      <w:r>
        <w:rPr>
          <w:noProof/>
        </w:rPr>
        <w:drawing>
          <wp:anchor distT="0" distB="0" distL="114300" distR="114300" simplePos="0" relativeHeight="251657216" behindDoc="0" locked="0" layoutInCell="1" allowOverlap="1" wp14:anchorId="19878483" wp14:editId="457F42D4">
            <wp:simplePos x="0" y="0"/>
            <wp:positionH relativeFrom="column">
              <wp:posOffset>41275</wp:posOffset>
            </wp:positionH>
            <wp:positionV relativeFrom="paragraph">
              <wp:posOffset>310515</wp:posOffset>
            </wp:positionV>
            <wp:extent cx="1313180" cy="1969770"/>
            <wp:effectExtent l="0" t="0" r="1270" b="0"/>
            <wp:wrapSquare wrapText="bothSides"/>
            <wp:docPr id="12360900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90099" name="Picture 1236090099"/>
                    <pic:cNvPicPr/>
                  </pic:nvPicPr>
                  <pic:blipFill>
                    <a:blip r:embed="rId7"/>
                    <a:stretch>
                      <a:fillRect/>
                    </a:stretch>
                  </pic:blipFill>
                  <pic:spPr>
                    <a:xfrm>
                      <a:off x="0" y="0"/>
                      <a:ext cx="1313180" cy="196977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B35DF8">
        <w:t>It’s</w:t>
      </w:r>
      <w:proofErr w:type="gramEnd"/>
      <w:r w:rsidRPr="00B35DF8">
        <w:t xml:space="preserve"> been a busy week at Kearns Technical Solutions—equal parts milestone and momentum.</w:t>
      </w:r>
    </w:p>
    <w:p w14:paraId="09D25A43" w14:textId="1F19A7CE" w:rsidR="00B35DF8" w:rsidRPr="00B35DF8" w:rsidRDefault="00B35DF8" w:rsidP="00B35DF8">
      <w:r w:rsidRPr="00B35DF8">
        <w:t xml:space="preserve">We relaunched the </w:t>
      </w:r>
      <w:r w:rsidRPr="00B35DF8">
        <w:rPr>
          <w:b/>
          <w:bCs/>
        </w:rPr>
        <w:t>KTS website</w:t>
      </w:r>
      <w:r w:rsidRPr="00B35DF8">
        <w:t xml:space="preserve"> following </w:t>
      </w:r>
      <w:r>
        <w:t>our</w:t>
      </w:r>
      <w:r w:rsidRPr="00B35DF8">
        <w:t xml:space="preserve"> migration to </w:t>
      </w:r>
      <w:proofErr w:type="spellStart"/>
      <w:r w:rsidRPr="00B35DF8">
        <w:rPr>
          <w:i/>
          <w:iCs/>
        </w:rPr>
        <w:t>Ionos</w:t>
      </w:r>
      <w:proofErr w:type="spellEnd"/>
      <w:r w:rsidRPr="00B35DF8">
        <w:t xml:space="preserve">, giving our digital presence a sharper edge and a grounded feel. Alongside that, we filed our </w:t>
      </w:r>
      <w:r w:rsidRPr="00B35DF8">
        <w:rPr>
          <w:b/>
          <w:bCs/>
        </w:rPr>
        <w:t>annual statement and accounts</w:t>
      </w:r>
      <w:r w:rsidRPr="00B35DF8">
        <w:t xml:space="preserve"> with Companies House, marking </w:t>
      </w:r>
      <w:r w:rsidRPr="00B35DF8">
        <w:rPr>
          <w:b/>
          <w:bCs/>
        </w:rPr>
        <w:t>five years of KTS</w:t>
      </w:r>
      <w:r w:rsidRPr="00B35DF8">
        <w:t>—a moment to reflect on the journey and the values that continue to shape our work.</w:t>
      </w:r>
    </w:p>
    <w:p w14:paraId="65DD6DA4" w14:textId="77777777" w:rsidR="00B35DF8" w:rsidRPr="00B35DF8" w:rsidRDefault="00B35DF8" w:rsidP="00B35DF8">
      <w:r w:rsidRPr="00B35DF8">
        <w:t xml:space="preserve">Behind the scenes, </w:t>
      </w:r>
      <w:proofErr w:type="gramStart"/>
      <w:r w:rsidRPr="00B35DF8">
        <w:t>we’ve</w:t>
      </w:r>
      <w:proofErr w:type="gramEnd"/>
      <w:r w:rsidRPr="00B35DF8">
        <w:t xml:space="preserve"> been researching and refining the </w:t>
      </w:r>
      <w:r w:rsidRPr="00B35DF8">
        <w:rPr>
          <w:b/>
          <w:bCs/>
        </w:rPr>
        <w:t>KTS newsletter</w:t>
      </w:r>
      <w:r w:rsidRPr="00B35DF8">
        <w:t xml:space="preserve">, developing a new </w:t>
      </w:r>
      <w:r w:rsidRPr="00B35DF8">
        <w:rPr>
          <w:b/>
          <w:bCs/>
        </w:rPr>
        <w:t>piping design specification</w:t>
      </w:r>
      <w:r w:rsidRPr="00B35DF8">
        <w:t xml:space="preserve"> that integrates enhanced use of AI tools, and laying the groundwork for a more agile, accountable team structure.</w:t>
      </w:r>
    </w:p>
    <w:p w14:paraId="5033A624" w14:textId="3D6D5F61" w:rsidR="00B35DF8" w:rsidRPr="00B35DF8" w:rsidRDefault="00000000" w:rsidP="00B35DF8">
      <w:r>
        <w:pict w14:anchorId="6AA96734">
          <v:rect id="_x0000_i1025" style="width:7in;height:.75pt" o:hrpct="0" o:hralign="center" o:hrstd="t" o:hr="t" fillcolor="#a0a0a0" stroked="f"/>
        </w:pict>
      </w:r>
    </w:p>
    <w:p w14:paraId="68799CCD" w14:textId="2E10B9B1" w:rsidR="00B35DF8" w:rsidRPr="000803EA" w:rsidRDefault="00184745" w:rsidP="00B35DF8">
      <w:pPr>
        <w:rPr>
          <w:b/>
          <w:bCs/>
          <w:sz w:val="32"/>
          <w:szCs w:val="32"/>
        </w:rPr>
      </w:pPr>
      <w:r w:rsidRPr="000803EA">
        <w:rPr>
          <w:b/>
          <w:bCs/>
          <w:noProof/>
          <w:sz w:val="32"/>
          <w:szCs w:val="32"/>
        </w:rPr>
        <w:drawing>
          <wp:anchor distT="0" distB="0" distL="114300" distR="114300" simplePos="0" relativeHeight="251658240" behindDoc="1" locked="0" layoutInCell="1" allowOverlap="1" wp14:anchorId="2D9803C5" wp14:editId="3E33ABE3">
            <wp:simplePos x="0" y="0"/>
            <wp:positionH relativeFrom="margin">
              <wp:posOffset>3810635</wp:posOffset>
            </wp:positionH>
            <wp:positionV relativeFrom="paragraph">
              <wp:posOffset>55880</wp:posOffset>
            </wp:positionV>
            <wp:extent cx="1972945" cy="1315085"/>
            <wp:effectExtent l="0" t="0" r="8255" b="0"/>
            <wp:wrapTight wrapText="bothSides">
              <wp:wrapPolygon edited="0">
                <wp:start x="0" y="0"/>
                <wp:lineTo x="0" y="21277"/>
                <wp:lineTo x="21482" y="21277"/>
                <wp:lineTo x="21482" y="0"/>
                <wp:lineTo x="0" y="0"/>
              </wp:wrapPolygon>
            </wp:wrapTight>
            <wp:docPr id="4622724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72444" name="Picture 462272444"/>
                    <pic:cNvPicPr/>
                  </pic:nvPicPr>
                  <pic:blipFill>
                    <a:blip r:embed="rId8"/>
                    <a:stretch>
                      <a:fillRect/>
                    </a:stretch>
                  </pic:blipFill>
                  <pic:spPr>
                    <a:xfrm>
                      <a:off x="0" y="0"/>
                      <a:ext cx="1972945" cy="1315085"/>
                    </a:xfrm>
                    <a:prstGeom prst="rect">
                      <a:avLst/>
                    </a:prstGeom>
                  </pic:spPr>
                </pic:pic>
              </a:graphicData>
            </a:graphic>
            <wp14:sizeRelH relativeFrom="margin">
              <wp14:pctWidth>0</wp14:pctWidth>
            </wp14:sizeRelH>
            <wp14:sizeRelV relativeFrom="margin">
              <wp14:pctHeight>0</wp14:pctHeight>
            </wp14:sizeRelV>
          </wp:anchor>
        </w:drawing>
      </w:r>
      <w:r w:rsidR="00B35DF8" w:rsidRPr="00B35DF8">
        <w:rPr>
          <w:b/>
          <w:bCs/>
          <w:sz w:val="32"/>
          <w:szCs w:val="32"/>
        </w:rPr>
        <w:t>INDUSTRY REVIEW: Flatlines and Fault lines</w:t>
      </w:r>
    </w:p>
    <w:p w14:paraId="1C8149A1" w14:textId="1D9D13E3" w:rsidR="00B35DF8" w:rsidRPr="00B35DF8" w:rsidRDefault="00B35DF8" w:rsidP="00B35DF8">
      <w:proofErr w:type="gramStart"/>
      <w:r w:rsidRPr="00B35DF8">
        <w:t>What's</w:t>
      </w:r>
      <w:proofErr w:type="gramEnd"/>
      <w:r w:rsidRPr="00B35DF8">
        <w:t xml:space="preserve"> been going on with UK industry in the last couple of weeks? Read on to find out about the latest in the Oil and Gas sector; Infrastructure and Nuclear; and a breakdown of the latest reporting from BP and Shell.</w:t>
      </w:r>
    </w:p>
    <w:p w14:paraId="26F26135" w14:textId="0CCC96C2" w:rsidR="00B35DF8" w:rsidRPr="00B35DF8" w:rsidRDefault="00B35DF8" w:rsidP="00B35DF8">
      <w:r w:rsidRPr="00B35DF8">
        <w:rPr>
          <w:rFonts w:ascii="Segoe UI Emoji" w:hAnsi="Segoe UI Emoji" w:cs="Segoe UI Emoji"/>
        </w:rPr>
        <w:t>🛢️</w:t>
      </w:r>
      <w:r w:rsidRPr="00B35DF8">
        <w:t xml:space="preserve"> </w:t>
      </w:r>
      <w:r w:rsidRPr="00B35DF8">
        <w:rPr>
          <w:sz w:val="28"/>
          <w:szCs w:val="28"/>
        </w:rPr>
        <w:t>Oil &amp; Gas: Strategic Pressure and Policy Debate</w:t>
      </w:r>
    </w:p>
    <w:p w14:paraId="48C87391" w14:textId="77777777" w:rsidR="000803EA" w:rsidRPr="000803EA" w:rsidRDefault="000803EA" w:rsidP="000803EA">
      <w:r w:rsidRPr="000803EA">
        <w:t>No major new orders have emerged in UK oil, gas, or nuclear this quarter, reflecting a flat industrial outlook. Domestic production continues to decline, while operators remain cautious amid fiscal uncertainty and regulatory pressure. Energy security now leans heavily on imports from France, the Netherlands, Belgium, and Norway.</w:t>
      </w:r>
    </w:p>
    <w:p w14:paraId="4D065512" w14:textId="03AB044C" w:rsidR="000803EA" w:rsidRPr="000803EA" w:rsidRDefault="000803EA" w:rsidP="00C96696">
      <w:pPr>
        <w:numPr>
          <w:ilvl w:val="0"/>
          <w:numId w:val="13"/>
        </w:numPr>
        <w:ind w:left="714" w:hanging="357"/>
      </w:pPr>
      <w:r w:rsidRPr="000803EA">
        <w:rPr>
          <w:b/>
          <w:bCs/>
        </w:rPr>
        <w:t>INEOS</w:t>
      </w:r>
      <w:r w:rsidRPr="000803EA">
        <w:t>, marking 50 years of the Forties Pipeline, warned the UK is “squandering its energy independence” under the 78% Energy Profits Levy</w:t>
      </w:r>
      <w:r>
        <w:t xml:space="preserve"> (EPL)</w:t>
      </w:r>
      <w:r w:rsidRPr="000803EA">
        <w:t>.</w:t>
      </w:r>
    </w:p>
    <w:p w14:paraId="06FA73C0" w14:textId="77777777" w:rsidR="000803EA" w:rsidRPr="000803EA" w:rsidRDefault="000803EA" w:rsidP="00C96696">
      <w:pPr>
        <w:numPr>
          <w:ilvl w:val="0"/>
          <w:numId w:val="13"/>
        </w:numPr>
        <w:ind w:left="714" w:hanging="357"/>
      </w:pPr>
      <w:r w:rsidRPr="000803EA">
        <w:rPr>
          <w:b/>
          <w:bCs/>
        </w:rPr>
        <w:t>Petrofac</w:t>
      </w:r>
      <w:r w:rsidRPr="000803EA">
        <w:t xml:space="preserve"> entered administration in October—another blow to North Sea services.</w:t>
      </w:r>
    </w:p>
    <w:p w14:paraId="513748EB" w14:textId="77777777" w:rsidR="000803EA" w:rsidRPr="000803EA" w:rsidRDefault="000803EA" w:rsidP="00C96696">
      <w:pPr>
        <w:numPr>
          <w:ilvl w:val="0"/>
          <w:numId w:val="13"/>
        </w:numPr>
      </w:pPr>
      <w:r w:rsidRPr="000803EA">
        <w:rPr>
          <w:b/>
          <w:bCs/>
        </w:rPr>
        <w:t>Wood Group’s ongoing struggles</w:t>
      </w:r>
      <w:r w:rsidRPr="000803EA">
        <w:t xml:space="preserve"> are covered later in depth.</w:t>
      </w:r>
    </w:p>
    <w:p w14:paraId="0976DC18" w14:textId="77777777" w:rsidR="00B35DF8" w:rsidRPr="00B35DF8" w:rsidRDefault="00B35DF8" w:rsidP="00B35DF8">
      <w:pPr>
        <w:rPr>
          <w:sz w:val="28"/>
          <w:szCs w:val="28"/>
        </w:rPr>
      </w:pPr>
      <w:r w:rsidRPr="00B35DF8">
        <w:rPr>
          <w:rFonts w:ascii="Segoe UI Emoji" w:hAnsi="Segoe UI Emoji" w:cs="Segoe UI Emoji"/>
        </w:rPr>
        <w:t>🏗️</w:t>
      </w:r>
      <w:r w:rsidRPr="00B35DF8">
        <w:rPr>
          <w:sz w:val="28"/>
          <w:szCs w:val="28"/>
        </w:rPr>
        <w:t xml:space="preserve"> Infrastructure &amp; Nuclear</w:t>
      </w:r>
    </w:p>
    <w:p w14:paraId="4DD3DB4B" w14:textId="6276463D" w:rsidR="000803EA" w:rsidRPr="000803EA" w:rsidRDefault="000803EA" w:rsidP="00C96696">
      <w:pPr>
        <w:pStyle w:val="ListParagraph"/>
        <w:numPr>
          <w:ilvl w:val="0"/>
          <w:numId w:val="2"/>
        </w:numPr>
        <w:spacing w:line="240" w:lineRule="auto"/>
        <w:ind w:left="714" w:hanging="357"/>
        <w:contextualSpacing w:val="0"/>
        <w:rPr>
          <w:rFonts w:eastAsia="Times New Roman" w:cstheme="minorHAnsi"/>
          <w:kern w:val="0"/>
          <w:lang w:eastAsia="en-GB"/>
          <w14:ligatures w14:val="none"/>
        </w:rPr>
      </w:pPr>
      <w:r w:rsidRPr="000803EA">
        <w:rPr>
          <w:rFonts w:eastAsia="Times New Roman" w:cstheme="minorHAnsi"/>
          <w:b/>
          <w:bCs/>
          <w:kern w:val="0"/>
          <w:lang w:eastAsia="en-GB"/>
          <w14:ligatures w14:val="none"/>
        </w:rPr>
        <w:t>Centrica’s £1.3bn stake in Sizewell C</w:t>
      </w:r>
      <w:r w:rsidRPr="000803EA">
        <w:rPr>
          <w:rFonts w:eastAsia="Times New Roman" w:cstheme="minorHAnsi"/>
          <w:kern w:val="0"/>
          <w:lang w:eastAsia="en-GB"/>
          <w14:ligatures w14:val="none"/>
        </w:rPr>
        <w:t xml:space="preserve"> remains a strategic anchor, but no new infrastructure contracts have surfaced recently.</w:t>
      </w:r>
    </w:p>
    <w:p w14:paraId="2D90CD24" w14:textId="17E2669F" w:rsidR="00B35DF8" w:rsidRPr="00B35DF8" w:rsidRDefault="000803EA" w:rsidP="00C96696">
      <w:pPr>
        <w:numPr>
          <w:ilvl w:val="0"/>
          <w:numId w:val="2"/>
        </w:numPr>
        <w:spacing w:before="100" w:beforeAutospacing="1" w:after="100" w:afterAutospacing="1" w:line="240" w:lineRule="auto"/>
        <w:ind w:left="714" w:hanging="357"/>
        <w:rPr>
          <w:rFonts w:eastAsia="Times New Roman" w:cstheme="minorHAnsi"/>
          <w:kern w:val="0"/>
          <w:lang w:eastAsia="en-GB"/>
          <w14:ligatures w14:val="none"/>
        </w:rPr>
      </w:pPr>
      <w:r w:rsidRPr="000803EA">
        <w:rPr>
          <w:rFonts w:eastAsia="Times New Roman" w:cstheme="minorHAnsi"/>
          <w:kern w:val="0"/>
          <w:lang w:eastAsia="en-GB"/>
          <w14:ligatures w14:val="none"/>
        </w:rPr>
        <w:t xml:space="preserve">The </w:t>
      </w:r>
      <w:r w:rsidRPr="000803EA">
        <w:rPr>
          <w:rFonts w:eastAsia="Times New Roman" w:cstheme="minorHAnsi"/>
          <w:b/>
          <w:bCs/>
          <w:kern w:val="0"/>
          <w:lang w:eastAsia="en-GB"/>
          <w14:ligatures w14:val="none"/>
        </w:rPr>
        <w:t>UK Budget on 26 November</w:t>
      </w:r>
      <w:r w:rsidRPr="000803EA">
        <w:rPr>
          <w:rFonts w:eastAsia="Times New Roman" w:cstheme="minorHAnsi"/>
          <w:kern w:val="0"/>
          <w:lang w:eastAsia="en-GB"/>
          <w14:ligatures w14:val="none"/>
        </w:rPr>
        <w:t xml:space="preserve"> may address energy taxation and unlock up to </w:t>
      </w:r>
      <w:r w:rsidRPr="000803EA">
        <w:rPr>
          <w:rFonts w:eastAsia="Times New Roman" w:cstheme="minorHAnsi"/>
          <w:b/>
          <w:bCs/>
          <w:kern w:val="0"/>
          <w:lang w:eastAsia="en-GB"/>
          <w14:ligatures w14:val="none"/>
        </w:rPr>
        <w:t>£40bn across 90 stalled projects</w:t>
      </w:r>
      <w:r w:rsidRPr="000803EA">
        <w:rPr>
          <w:rFonts w:eastAsia="Times New Roman" w:cstheme="minorHAnsi"/>
          <w:kern w:val="0"/>
          <w:lang w:eastAsia="en-GB"/>
          <w14:ligatures w14:val="none"/>
        </w:rPr>
        <w:t>—if the EPL is replaced early.</w:t>
      </w:r>
    </w:p>
    <w:p w14:paraId="30BF9AC2" w14:textId="77777777" w:rsidR="00C96696" w:rsidRDefault="00C96696">
      <w:pPr>
        <w:rPr>
          <w:rFonts w:ascii="Segoe UI Emoji" w:eastAsia="Times New Roman" w:hAnsi="Segoe UI Emoji" w:cs="Segoe UI Emoji"/>
          <w:kern w:val="0"/>
          <w:lang w:eastAsia="en-GB"/>
          <w14:ligatures w14:val="none"/>
        </w:rPr>
      </w:pPr>
      <w:r>
        <w:rPr>
          <w:rFonts w:ascii="Segoe UI Emoji" w:hAnsi="Segoe UI Emoji" w:cs="Segoe UI Emoji"/>
        </w:rPr>
        <w:br w:type="page"/>
      </w:r>
    </w:p>
    <w:p w14:paraId="7E19768F" w14:textId="77777777" w:rsidR="00C96696" w:rsidRDefault="00C96696" w:rsidP="00C96696">
      <w:pPr>
        <w:pStyle w:val="NormalWeb"/>
        <w:spacing w:before="240" w:beforeAutospacing="0"/>
        <w:rPr>
          <w:rFonts w:ascii="Segoe UI Emoji" w:hAnsi="Segoe UI Emoji" w:cs="Segoe UI Emoji"/>
        </w:rPr>
      </w:pPr>
    </w:p>
    <w:p w14:paraId="5AAA97B0" w14:textId="5B379344" w:rsidR="000803EA" w:rsidRDefault="000803EA" w:rsidP="00C96696">
      <w:pPr>
        <w:pStyle w:val="NormalWeb"/>
        <w:spacing w:before="240" w:beforeAutospacing="0"/>
      </w:pPr>
      <w:r>
        <w:rPr>
          <w:rFonts w:ascii="Segoe UI Emoji" w:hAnsi="Segoe UI Emoji" w:cs="Segoe UI Emoji"/>
        </w:rPr>
        <w:t>⚖️</w:t>
      </w:r>
      <w:r>
        <w:t xml:space="preserve"> Market Pulse</w:t>
      </w:r>
    </w:p>
    <w:p w14:paraId="09545AE6" w14:textId="77777777" w:rsidR="00C96696" w:rsidRPr="000803EA" w:rsidRDefault="00C96696" w:rsidP="00C96696">
      <w:pPr>
        <w:pStyle w:val="NormalWeb"/>
        <w:rPr>
          <w:rFonts w:asciiTheme="minorHAnsi" w:hAnsiTheme="minorHAnsi" w:cstheme="minorHAnsi"/>
        </w:rPr>
      </w:pPr>
      <w:proofErr w:type="gramStart"/>
      <w:r w:rsidRPr="000803EA">
        <w:rPr>
          <w:rFonts w:asciiTheme="minorHAnsi" w:hAnsiTheme="minorHAnsi" w:cstheme="minorHAnsi"/>
        </w:rPr>
        <w:t>It’s</w:t>
      </w:r>
      <w:proofErr w:type="gramEnd"/>
      <w:r w:rsidRPr="000803EA">
        <w:rPr>
          <w:rFonts w:asciiTheme="minorHAnsi" w:hAnsiTheme="minorHAnsi" w:cstheme="minorHAnsi"/>
        </w:rPr>
        <w:t xml:space="preserve"> not all doom and gloom:</w:t>
      </w:r>
      <w:r>
        <w:rPr>
          <w:rFonts w:asciiTheme="minorHAnsi" w:hAnsiTheme="minorHAnsi" w:cstheme="minorHAnsi"/>
        </w:rPr>
        <w:t xml:space="preserve"> </w:t>
      </w:r>
      <w:r w:rsidRPr="000803EA">
        <w:rPr>
          <w:rStyle w:val="Strong"/>
          <w:rFonts w:asciiTheme="minorHAnsi" w:eastAsiaTheme="majorEastAsia" w:hAnsiTheme="minorHAnsi" w:cstheme="minorHAnsi"/>
        </w:rPr>
        <w:t>BP beat expectations</w:t>
      </w:r>
      <w:r w:rsidRPr="000803EA">
        <w:rPr>
          <w:rFonts w:asciiTheme="minorHAnsi" w:hAnsiTheme="minorHAnsi" w:cstheme="minorHAnsi"/>
        </w:rPr>
        <w:t xml:space="preserve"> despite lower profits, and </w:t>
      </w:r>
      <w:r w:rsidRPr="000803EA">
        <w:rPr>
          <w:rStyle w:val="Strong"/>
          <w:rFonts w:asciiTheme="minorHAnsi" w:eastAsiaTheme="majorEastAsia" w:hAnsiTheme="minorHAnsi" w:cstheme="minorHAnsi"/>
        </w:rPr>
        <w:t>Shell held firm</w:t>
      </w:r>
      <w:r w:rsidRPr="000803EA">
        <w:rPr>
          <w:rFonts w:asciiTheme="minorHAnsi" w:hAnsiTheme="minorHAnsi" w:cstheme="minorHAnsi"/>
        </w:rPr>
        <w:t xml:space="preserve"> with disciplined capital strategy. Both are actively reshaping portfolios in response to market pressures.</w:t>
      </w:r>
    </w:p>
    <w:p w14:paraId="1B61CF64" w14:textId="77777777" w:rsidR="00B35DF8" w:rsidRPr="00B35DF8" w:rsidRDefault="00000000" w:rsidP="00B35DF8">
      <w:r>
        <w:pict w14:anchorId="7FE9241B">
          <v:rect id="_x0000_i1026" style="width:7in;height:.75pt" o:hrpct="0" o:hralign="center" o:hrstd="t" o:hr="t" fillcolor="#a0a0a0" stroked="f"/>
        </w:pict>
      </w:r>
    </w:p>
    <w:p w14:paraId="6F1F044F" w14:textId="77777777" w:rsidR="00021B2B" w:rsidRDefault="00B35DF8" w:rsidP="00B35DF8">
      <w:pPr>
        <w:rPr>
          <w:b/>
          <w:bCs/>
        </w:rPr>
      </w:pPr>
      <w:r w:rsidRPr="00B35DF8">
        <w:rPr>
          <w:rFonts w:ascii="Segoe UI Emoji" w:hAnsi="Segoe UI Emoji" w:cs="Segoe UI Emoji"/>
          <w:b/>
          <w:bCs/>
        </w:rPr>
        <w:t>📈</w:t>
      </w:r>
      <w:r w:rsidRPr="00B35DF8">
        <w:rPr>
          <w:b/>
          <w:bCs/>
        </w:rPr>
        <w:t xml:space="preserve"> </w:t>
      </w:r>
      <w:r w:rsidRPr="00B35DF8">
        <w:rPr>
          <w:b/>
          <w:bCs/>
          <w:sz w:val="32"/>
          <w:szCs w:val="32"/>
        </w:rPr>
        <w:t>MARKET WATCH</w:t>
      </w:r>
      <w:r w:rsidRPr="00B35DF8">
        <w:rPr>
          <w:b/>
          <w:bCs/>
        </w:rPr>
        <w:t xml:space="preserve"> </w:t>
      </w:r>
    </w:p>
    <w:p w14:paraId="125DFC22" w14:textId="0AF82BA8" w:rsidR="00B35DF8" w:rsidRPr="00B35DF8" w:rsidRDefault="00D3710F" w:rsidP="00B35DF8">
      <w:pPr>
        <w:rPr>
          <w:b/>
          <w:bCs/>
          <w:sz w:val="28"/>
          <w:szCs w:val="28"/>
        </w:rPr>
      </w:pPr>
      <w:r>
        <w:rPr>
          <w:noProof/>
        </w:rPr>
        <mc:AlternateContent>
          <mc:Choice Requires="wpg">
            <w:drawing>
              <wp:anchor distT="0" distB="0" distL="114300" distR="114300" simplePos="0" relativeHeight="251662336" behindDoc="0" locked="0" layoutInCell="1" allowOverlap="1" wp14:anchorId="4C6CBE85" wp14:editId="2E0153BF">
                <wp:simplePos x="0" y="0"/>
                <wp:positionH relativeFrom="column">
                  <wp:posOffset>4530090</wp:posOffset>
                </wp:positionH>
                <wp:positionV relativeFrom="paragraph">
                  <wp:posOffset>278581</wp:posOffset>
                </wp:positionV>
                <wp:extent cx="1400175" cy="2436495"/>
                <wp:effectExtent l="0" t="0" r="9525" b="1905"/>
                <wp:wrapTight wrapText="bothSides">
                  <wp:wrapPolygon edited="0">
                    <wp:start x="0" y="0"/>
                    <wp:lineTo x="0" y="21448"/>
                    <wp:lineTo x="21453" y="21448"/>
                    <wp:lineTo x="21453" y="0"/>
                    <wp:lineTo x="0" y="0"/>
                  </wp:wrapPolygon>
                </wp:wrapTight>
                <wp:docPr id="1131646711" name="Group 4"/>
                <wp:cNvGraphicFramePr/>
                <a:graphic xmlns:a="http://schemas.openxmlformats.org/drawingml/2006/main">
                  <a:graphicData uri="http://schemas.microsoft.com/office/word/2010/wordprocessingGroup">
                    <wpg:wgp>
                      <wpg:cNvGrpSpPr/>
                      <wpg:grpSpPr>
                        <a:xfrm>
                          <a:off x="0" y="0"/>
                          <a:ext cx="1400175" cy="2436495"/>
                          <a:chOff x="0" y="0"/>
                          <a:chExt cx="1400175" cy="2437047"/>
                        </a:xfrm>
                      </wpg:grpSpPr>
                      <pic:pic xmlns:pic="http://schemas.openxmlformats.org/drawingml/2006/picture">
                        <pic:nvPicPr>
                          <pic:cNvPr id="1629642035"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400175" cy="1676400"/>
                          </a:xfrm>
                          <a:prstGeom prst="rect">
                            <a:avLst/>
                          </a:prstGeom>
                        </pic:spPr>
                      </pic:pic>
                      <wps:wsp>
                        <wps:cNvPr id="185029137" name="Text Box 1"/>
                        <wps:cNvSpPr txBox="1"/>
                        <wps:spPr>
                          <a:xfrm>
                            <a:off x="0" y="1751882"/>
                            <a:ext cx="1400175" cy="685165"/>
                          </a:xfrm>
                          <a:prstGeom prst="rect">
                            <a:avLst/>
                          </a:prstGeom>
                          <a:solidFill>
                            <a:prstClr val="white"/>
                          </a:solidFill>
                          <a:ln>
                            <a:noFill/>
                          </a:ln>
                        </wps:spPr>
                        <wps:txbx>
                          <w:txbxContent>
                            <w:p w14:paraId="7EA6BC78" w14:textId="511251AD" w:rsidR="00021B2B" w:rsidRPr="00A534DE" w:rsidRDefault="00021B2B" w:rsidP="00021B2B">
                              <w:pPr>
                                <w:pStyle w:val="Caption"/>
                              </w:pPr>
                              <w:r>
                                <w:t>Foster Wheeler, a legacy Wood Group company won the Queen's Award for Enterprise 8 times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C6CBE85" id="Group 4" o:spid="_x0000_s1026" style="position:absolute;margin-left:356.7pt;margin-top:21.95pt;width:110.25pt;height:191.85pt;z-index:251662336;mso-height-relative:margin" coordsize="14001,24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4001;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">
                  <v:imagedata r:id="rId10" o:title=""/>
                </v:shape>
                <v:shapetype id="_x0000_t202" coordsize="21600,21600" o:spt="202" path="m,l,21600r21600,l21600,xe">
                  <v:stroke joinstyle="miter"/>
                  <v:path gradientshapeok="t" o:connecttype="rect"/>
                </v:shapetype>
                <v:shape id="Text Box 1" o:spid="_x0000_s1028" type="#_x0000_t202" style="position:absolute;top:17518;width:14001;height:6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" stroked="f">
                  <v:textbox style="mso-fit-shape-to-text:t" inset="0,0,0,0">
                    <w:txbxContent>
                      <w:p w14:paraId="7EA6BC78" w14:textId="511251AD" w:rsidR="00021B2B" w:rsidRPr="00A534DE" w:rsidRDefault="00021B2B" w:rsidP="00021B2B">
                        <w:pPr>
                          <w:pStyle w:val="Caption"/>
                        </w:pPr>
                        <w:r>
                          <w:t>Foster Wheeler, a legacy Wood Group company won the Queen's Award for Enterprise 8 times</w:t>
                        </w:r>
                      </w:p>
                    </w:txbxContent>
                  </v:textbox>
                </v:shape>
                <w10:wrap type="tight"/>
              </v:group>
            </w:pict>
          </mc:Fallback>
        </mc:AlternateContent>
      </w:r>
      <w:r w:rsidR="00B35DF8" w:rsidRPr="00B35DF8">
        <w:rPr>
          <w:b/>
          <w:bCs/>
          <w:sz w:val="28"/>
          <w:szCs w:val="28"/>
        </w:rPr>
        <w:t>Distress Signals: Wood Group’s Value Collapse and the Sidara Bid</w:t>
      </w:r>
    </w:p>
    <w:p w14:paraId="3A9E5ECC" w14:textId="13F3CC7A" w:rsidR="00B35DF8" w:rsidRPr="00B35DF8" w:rsidRDefault="00B35DF8" w:rsidP="00B35DF8">
      <w:r w:rsidRPr="00B35DF8">
        <w:t>Wood Group’s valuation has collapsed by over 95% in the past decade — from a 2015–2017 peak near £4.4 billion to Sidara’s current offer of 30p per share, valuing the company at just £216 million.</w:t>
      </w:r>
    </w:p>
    <w:p w14:paraId="68A785A8" w14:textId="488F0454" w:rsidR="00B35DF8" w:rsidRPr="00B35DF8" w:rsidRDefault="00B35DF8" w:rsidP="00B35DF8">
      <w:r w:rsidRPr="00B35DF8">
        <w:t>Once a flagship of UK engineering. Now a cautionary tale of acquisition risk, governance failure, and strategic drift.</w:t>
      </w:r>
      <w:r w:rsidR="00C96696" w:rsidRPr="00C96696">
        <w:rPr>
          <w:noProof/>
        </w:rPr>
        <w:t xml:space="preserve"> </w:t>
      </w:r>
      <w:r w:rsidR="00D3710F">
        <w:rPr>
          <w:noProof/>
        </w:rPr>
        <w:t>We examine this sorry tale in some detail here, and see some last minute opportunity for the canny / brave / foolish investor.</w:t>
      </w:r>
    </w:p>
    <w:p w14:paraId="7DBF7E28" w14:textId="77777777" w:rsidR="00B35DF8" w:rsidRPr="00B35DF8" w:rsidRDefault="00B35DF8" w:rsidP="00B35DF8">
      <w:r w:rsidRPr="00B35DF8">
        <w:rPr>
          <w:rFonts w:ascii="Segoe UI Emoji" w:hAnsi="Segoe UI Emoji" w:cs="Segoe UI Emoji"/>
          <w:b/>
          <w:bCs/>
        </w:rPr>
        <w:t>🔍</w:t>
      </w:r>
      <w:r w:rsidRPr="00B35DF8">
        <w:rPr>
          <w:b/>
          <w:bCs/>
        </w:rPr>
        <w:t xml:space="preserve"> Anatomy of the Collapse</w:t>
      </w:r>
    </w:p>
    <w:p w14:paraId="3657B599" w14:textId="3C1F24D9" w:rsidR="00B35DF8" w:rsidRPr="00B35DF8" w:rsidRDefault="00B35DF8" w:rsidP="00B35DF8">
      <w:pPr>
        <w:numPr>
          <w:ilvl w:val="0"/>
          <w:numId w:val="3"/>
        </w:numPr>
      </w:pPr>
      <w:r w:rsidRPr="00B35DF8">
        <w:rPr>
          <w:b/>
          <w:bCs/>
        </w:rPr>
        <w:t>Heavy impairments</w:t>
      </w:r>
      <w:r w:rsidRPr="00B35DF8">
        <w:t xml:space="preserve"> </w:t>
      </w:r>
      <w:proofErr w:type="gramStart"/>
      <w:r w:rsidR="00294FC5">
        <w:t>In</w:t>
      </w:r>
      <w:proofErr w:type="gramEnd"/>
      <w:r w:rsidR="00294FC5">
        <w:t xml:space="preserve"> 2024, Wood Group recorded a</w:t>
      </w:r>
      <w:r w:rsidRPr="00B35DF8">
        <w:t xml:space="preserve"> £2.2bn goodwill write-down and £425m in exceptional </w:t>
      </w:r>
      <w:proofErr w:type="gramStart"/>
      <w:r w:rsidRPr="00B35DF8">
        <w:t xml:space="preserve">charges </w:t>
      </w:r>
      <w:r w:rsidR="00294FC5">
        <w:t xml:space="preserve"> -</w:t>
      </w:r>
      <w:proofErr w:type="gramEnd"/>
      <w:r w:rsidR="00294FC5">
        <w:t xml:space="preserve"> </w:t>
      </w:r>
      <w:r w:rsidRPr="00B35DF8">
        <w:t xml:space="preserve">directly </w:t>
      </w:r>
      <w:r w:rsidR="00294FC5">
        <w:t xml:space="preserve">linked to its </w:t>
      </w:r>
      <w:r w:rsidRPr="00B35DF8">
        <w:t xml:space="preserve">failure to </w:t>
      </w:r>
      <w:r w:rsidR="00294FC5">
        <w:t xml:space="preserve">extract </w:t>
      </w:r>
      <w:r w:rsidRPr="00B35DF8">
        <w:t xml:space="preserve">value from </w:t>
      </w:r>
      <w:r w:rsidR="00294FC5">
        <w:t>the</w:t>
      </w:r>
      <w:r w:rsidRPr="00B35DF8">
        <w:t xml:space="preserve"> acquisition of Amec Foster Wheeler</w:t>
      </w:r>
      <w:r w:rsidR="00294FC5">
        <w:t xml:space="preserve"> in 2017.</w:t>
      </w:r>
    </w:p>
    <w:p w14:paraId="5DDE8C2A" w14:textId="77777777" w:rsidR="00B35DF8" w:rsidRPr="00B35DF8" w:rsidRDefault="00B35DF8" w:rsidP="00B35DF8">
      <w:pPr>
        <w:numPr>
          <w:ilvl w:val="0"/>
          <w:numId w:val="3"/>
        </w:numPr>
      </w:pPr>
      <w:r w:rsidRPr="00B35DF8">
        <w:rPr>
          <w:b/>
          <w:bCs/>
        </w:rPr>
        <w:t>Consistent losses</w:t>
      </w:r>
      <w:r w:rsidRPr="00B35DF8">
        <w:t xml:space="preserve"> Wood Group has posted a profit only once since 2016. In 2024, it recorded a $2.76bn pre-tax loss, </w:t>
      </w:r>
      <w:r w:rsidRPr="00B35DF8">
        <w:rPr>
          <w:b/>
          <w:bCs/>
        </w:rPr>
        <w:t>despite</w:t>
      </w:r>
      <w:r w:rsidRPr="00B35DF8">
        <w:t xml:space="preserve"> a $6.5bn order book. Winning orders while running at a loss is easy — but unsustainable.</w:t>
      </w:r>
    </w:p>
    <w:p w14:paraId="3DB42271" w14:textId="77777777" w:rsidR="00B35DF8" w:rsidRPr="00B35DF8" w:rsidRDefault="00B35DF8" w:rsidP="00B35DF8">
      <w:pPr>
        <w:numPr>
          <w:ilvl w:val="0"/>
          <w:numId w:val="3"/>
        </w:numPr>
      </w:pPr>
      <w:r w:rsidRPr="00B35DF8">
        <w:rPr>
          <w:b/>
          <w:bCs/>
        </w:rPr>
        <w:t>Material weaknesses in financial controls</w:t>
      </w:r>
      <w:r w:rsidRPr="00B35DF8">
        <w:t xml:space="preserve"> Long-standing governance issues relating to financial controls came to a head in 2024, triggering delayed accounts and a months-long suspension of share trading — lifted only in early November.</w:t>
      </w:r>
    </w:p>
    <w:p w14:paraId="429A1434" w14:textId="77777777" w:rsidR="00B35DF8" w:rsidRPr="00B35DF8" w:rsidRDefault="00B35DF8" w:rsidP="00B35DF8">
      <w:pPr>
        <w:numPr>
          <w:ilvl w:val="0"/>
          <w:numId w:val="3"/>
        </w:numPr>
      </w:pPr>
      <w:r w:rsidRPr="00B35DF8">
        <w:rPr>
          <w:b/>
          <w:bCs/>
        </w:rPr>
        <w:t>Leadership inertia</w:t>
      </w:r>
      <w:r w:rsidRPr="00B35DF8">
        <w:t xml:space="preserve"> A senior team remained in place through years of underperformance, impairments, and strategic drift — with limited visible accountability.</w:t>
      </w:r>
    </w:p>
    <w:p w14:paraId="2C05EFD9" w14:textId="77777777" w:rsidR="00B35DF8" w:rsidRPr="00B35DF8" w:rsidRDefault="00B35DF8" w:rsidP="00B35DF8">
      <w:r w:rsidRPr="00B35DF8">
        <w:rPr>
          <w:rFonts w:ascii="Segoe UI Emoji" w:hAnsi="Segoe UI Emoji" w:cs="Segoe UI Emoji"/>
          <w:b/>
          <w:bCs/>
        </w:rPr>
        <w:t>🌤️</w:t>
      </w:r>
      <w:r w:rsidRPr="00B35DF8">
        <w:rPr>
          <w:b/>
          <w:bCs/>
        </w:rPr>
        <w:t xml:space="preserve"> Silver Lining for the Brave Investor</w:t>
      </w:r>
    </w:p>
    <w:p w14:paraId="5D0FD59C" w14:textId="7361A133" w:rsidR="00D3710F" w:rsidRDefault="00B35DF8" w:rsidP="00B35DF8">
      <w:pPr>
        <w:rPr>
          <w:rFonts w:ascii="Segoe UI Emoji" w:hAnsi="Segoe UI Emoji" w:cs="Segoe UI Emoji"/>
          <w:b/>
          <w:bCs/>
        </w:rPr>
      </w:pPr>
      <w:r w:rsidRPr="00B35DF8">
        <w:t>For the brave investor, there is a potential silver lining in this dark cloud. The Sidara offer now presents a rare merger arbitrage opportunity, with a potential 65% upside for short-term investors.</w:t>
      </w:r>
    </w:p>
    <w:p w14:paraId="49689894" w14:textId="77777777" w:rsidR="00D3710F" w:rsidRDefault="00D3710F" w:rsidP="00B35DF8">
      <w:pPr>
        <w:rPr>
          <w:rFonts w:ascii="Segoe UI Emoji" w:hAnsi="Segoe UI Emoji" w:cs="Segoe UI Emoji"/>
          <w:b/>
          <w:bCs/>
        </w:rPr>
      </w:pPr>
    </w:p>
    <w:p w14:paraId="79F0A24F" w14:textId="03720CFB" w:rsidR="00B35DF8" w:rsidRPr="00B35DF8" w:rsidRDefault="00B35DF8" w:rsidP="00B35DF8">
      <w:r w:rsidRPr="00B35DF8">
        <w:rPr>
          <w:rFonts w:ascii="Segoe UI Emoji" w:hAnsi="Segoe UI Emoji" w:cs="Segoe UI Emoji"/>
          <w:b/>
          <w:bCs/>
        </w:rPr>
        <w:t>💼</w:t>
      </w:r>
      <w:r w:rsidRPr="00B35DF8">
        <w:rPr>
          <w:b/>
          <w:bCs/>
        </w:rPr>
        <w:t xml:space="preserve"> Sidara’s Offer: Timeline and Signals</w:t>
      </w:r>
    </w:p>
    <w:p w14:paraId="1F8FA285" w14:textId="77777777" w:rsidR="00B35DF8" w:rsidRPr="00B35DF8" w:rsidRDefault="00B35DF8" w:rsidP="00294FC5">
      <w:pPr>
        <w:numPr>
          <w:ilvl w:val="0"/>
          <w:numId w:val="4"/>
        </w:numPr>
        <w:ind w:left="714" w:hanging="357"/>
        <w:contextualSpacing/>
      </w:pPr>
      <w:r w:rsidRPr="00B35DF8">
        <w:t>Offer agreed: August 2025</w:t>
      </w:r>
    </w:p>
    <w:p w14:paraId="645A787E" w14:textId="77777777" w:rsidR="00B35DF8" w:rsidRPr="00B35DF8" w:rsidRDefault="00B35DF8" w:rsidP="00294FC5">
      <w:pPr>
        <w:numPr>
          <w:ilvl w:val="0"/>
          <w:numId w:val="4"/>
        </w:numPr>
        <w:ind w:left="714" w:hanging="357"/>
        <w:contextualSpacing/>
      </w:pPr>
      <w:r w:rsidRPr="00B35DF8">
        <w:t>Credit extension approved: 23 October</w:t>
      </w:r>
    </w:p>
    <w:p w14:paraId="7DCD721B" w14:textId="77777777" w:rsidR="00B35DF8" w:rsidRPr="00B35DF8" w:rsidRDefault="00B35DF8" w:rsidP="00294FC5">
      <w:pPr>
        <w:numPr>
          <w:ilvl w:val="0"/>
          <w:numId w:val="4"/>
        </w:numPr>
        <w:ind w:left="714" w:hanging="357"/>
        <w:contextualSpacing/>
      </w:pPr>
      <w:r w:rsidRPr="00B35DF8">
        <w:t>Accounts published: Late October</w:t>
      </w:r>
    </w:p>
    <w:p w14:paraId="4D9F6B12" w14:textId="77777777" w:rsidR="00B35DF8" w:rsidRPr="00B35DF8" w:rsidRDefault="00B35DF8" w:rsidP="00294FC5">
      <w:pPr>
        <w:numPr>
          <w:ilvl w:val="0"/>
          <w:numId w:val="4"/>
        </w:numPr>
        <w:ind w:left="714" w:hanging="357"/>
        <w:contextualSpacing/>
      </w:pPr>
      <w:r w:rsidRPr="00B35DF8">
        <w:t>Trading resumed: 6 November</w:t>
      </w:r>
    </w:p>
    <w:p w14:paraId="77DB75B7" w14:textId="77777777" w:rsidR="00B35DF8" w:rsidRPr="00B35DF8" w:rsidRDefault="00B35DF8" w:rsidP="00B35DF8">
      <w:pPr>
        <w:numPr>
          <w:ilvl w:val="0"/>
          <w:numId w:val="4"/>
        </w:numPr>
      </w:pPr>
      <w:r w:rsidRPr="00B35DF8">
        <w:t>Shareholder vote: Expected week of 17 November</w:t>
      </w:r>
    </w:p>
    <w:p w14:paraId="393FE810" w14:textId="77777777" w:rsidR="00B35DF8" w:rsidRPr="00B35DF8" w:rsidRDefault="00B35DF8" w:rsidP="00B35DF8">
      <w:r w:rsidRPr="00B35DF8">
        <w:t>The board has unanimously recommended the deal. With credit approval secured and accounts published, the risk of collapse has receded — though not vanished.</w:t>
      </w:r>
    </w:p>
    <w:p w14:paraId="63B68DF2" w14:textId="77777777" w:rsidR="00B35DF8" w:rsidRPr="00B35DF8" w:rsidRDefault="00B35DF8" w:rsidP="00B35DF8">
      <w:r w:rsidRPr="00B35DF8">
        <w:rPr>
          <w:rFonts w:ascii="Segoe UI Emoji" w:hAnsi="Segoe UI Emoji" w:cs="Segoe UI Emoji"/>
          <w:b/>
          <w:bCs/>
        </w:rPr>
        <w:t>📉</w:t>
      </w:r>
      <w:r w:rsidRPr="00B35DF8">
        <w:rPr>
          <w:b/>
          <w:bCs/>
        </w:rPr>
        <w:t xml:space="preserve"> Why Some Investors Are Still Selling</w:t>
      </w:r>
    </w:p>
    <w:p w14:paraId="6D705879" w14:textId="77777777" w:rsidR="00B35DF8" w:rsidRPr="00B35DF8" w:rsidRDefault="00B35DF8" w:rsidP="00294FC5">
      <w:pPr>
        <w:numPr>
          <w:ilvl w:val="0"/>
          <w:numId w:val="5"/>
        </w:numPr>
        <w:ind w:left="714" w:hanging="357"/>
        <w:contextualSpacing/>
      </w:pPr>
      <w:r w:rsidRPr="00B35DF8">
        <w:t>Uncertainty fatigue — years of volatility have eroded trust</w:t>
      </w:r>
    </w:p>
    <w:p w14:paraId="09FF18D0" w14:textId="77777777" w:rsidR="00B35DF8" w:rsidRPr="00B35DF8" w:rsidRDefault="00B35DF8" w:rsidP="00294FC5">
      <w:pPr>
        <w:numPr>
          <w:ilvl w:val="0"/>
          <w:numId w:val="5"/>
        </w:numPr>
        <w:ind w:left="714" w:hanging="357"/>
        <w:contextualSpacing/>
      </w:pPr>
      <w:r w:rsidRPr="00B35DF8">
        <w:t>Liquidity preference — some prefer cash now over waiting for the offer to complete</w:t>
      </w:r>
    </w:p>
    <w:p w14:paraId="1A67AAF9" w14:textId="77777777" w:rsidR="00B35DF8" w:rsidRPr="00B35DF8" w:rsidRDefault="00B35DF8" w:rsidP="00B35DF8">
      <w:pPr>
        <w:numPr>
          <w:ilvl w:val="0"/>
          <w:numId w:val="5"/>
        </w:numPr>
      </w:pPr>
      <w:r w:rsidRPr="00B35DF8">
        <w:t>Residual risk — regulatory or procedural hiccups could still derail the deal</w:t>
      </w:r>
    </w:p>
    <w:p w14:paraId="1616C9E8" w14:textId="5ABA9698" w:rsidR="00B35DF8" w:rsidRPr="00B35DF8" w:rsidRDefault="009C170F" w:rsidP="00B35DF8">
      <w:r>
        <w:rPr>
          <w:noProof/>
        </w:rPr>
        <w:drawing>
          <wp:anchor distT="0" distB="0" distL="114300" distR="114300" simplePos="0" relativeHeight="251666432" behindDoc="0" locked="0" layoutInCell="1" allowOverlap="1" wp14:anchorId="7C86B7B8" wp14:editId="7368481E">
            <wp:simplePos x="0" y="0"/>
            <wp:positionH relativeFrom="column">
              <wp:posOffset>3073400</wp:posOffset>
            </wp:positionH>
            <wp:positionV relativeFrom="paragraph">
              <wp:posOffset>126365</wp:posOffset>
            </wp:positionV>
            <wp:extent cx="1849120" cy="1232535"/>
            <wp:effectExtent l="0" t="0" r="0" b="5715"/>
            <wp:wrapSquare wrapText="bothSides"/>
            <wp:docPr id="9712699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69984" name="Picture 971269984"/>
                    <pic:cNvPicPr/>
                  </pic:nvPicPr>
                  <pic:blipFill>
                    <a:blip r:embed="rId11"/>
                    <a:stretch>
                      <a:fillRect/>
                    </a:stretch>
                  </pic:blipFill>
                  <pic:spPr>
                    <a:xfrm>
                      <a:off x="0" y="0"/>
                      <a:ext cx="1849120" cy="1232535"/>
                    </a:xfrm>
                    <a:prstGeom prst="rect">
                      <a:avLst/>
                    </a:prstGeom>
                  </pic:spPr>
                </pic:pic>
              </a:graphicData>
            </a:graphic>
            <wp14:sizeRelH relativeFrom="margin">
              <wp14:pctWidth>0</wp14:pctWidth>
            </wp14:sizeRelH>
            <wp14:sizeRelV relativeFrom="margin">
              <wp14:pctHeight>0</wp14:pctHeight>
            </wp14:sizeRelV>
          </wp:anchor>
        </w:drawing>
      </w:r>
      <w:r w:rsidR="00B35DF8" w:rsidRPr="00B35DF8">
        <w:rPr>
          <w:rFonts w:ascii="Segoe UI Emoji" w:hAnsi="Segoe UI Emoji" w:cs="Segoe UI Emoji"/>
          <w:b/>
          <w:bCs/>
        </w:rPr>
        <w:t>📊</w:t>
      </w:r>
      <w:r w:rsidR="00B35DF8" w:rsidRPr="00B35DF8">
        <w:rPr>
          <w:b/>
          <w:bCs/>
        </w:rPr>
        <w:t xml:space="preserve"> Arbitrage Snapshot</w:t>
      </w:r>
    </w:p>
    <w:p w14:paraId="034C8CA5" w14:textId="3733D68C" w:rsidR="00B35DF8" w:rsidRPr="00B35DF8" w:rsidRDefault="00B35DF8" w:rsidP="003519F6">
      <w:pPr>
        <w:numPr>
          <w:ilvl w:val="0"/>
          <w:numId w:val="6"/>
        </w:numPr>
        <w:ind w:left="714" w:hanging="357"/>
        <w:contextualSpacing/>
      </w:pPr>
      <w:r w:rsidRPr="00B35DF8">
        <w:t>Current share price: ~</w:t>
      </w:r>
      <w:r w:rsidR="003519F6">
        <w:t>23.3</w:t>
      </w:r>
      <w:r w:rsidRPr="00B35DF8">
        <w:t>p</w:t>
      </w:r>
    </w:p>
    <w:p w14:paraId="2ABC54BC" w14:textId="77777777" w:rsidR="00B35DF8" w:rsidRPr="00B35DF8" w:rsidRDefault="00B35DF8" w:rsidP="003519F6">
      <w:pPr>
        <w:numPr>
          <w:ilvl w:val="0"/>
          <w:numId w:val="6"/>
        </w:numPr>
        <w:ind w:left="714" w:hanging="357"/>
        <w:contextualSpacing/>
      </w:pPr>
      <w:r w:rsidRPr="00B35DF8">
        <w:t>Offer price: 30p</w:t>
      </w:r>
    </w:p>
    <w:p w14:paraId="160B6C05" w14:textId="6AA77556" w:rsidR="00B35DF8" w:rsidRPr="00B35DF8" w:rsidRDefault="00B35DF8" w:rsidP="003519F6">
      <w:pPr>
        <w:numPr>
          <w:ilvl w:val="0"/>
          <w:numId w:val="6"/>
        </w:numPr>
        <w:ind w:left="714" w:hanging="357"/>
        <w:contextualSpacing/>
      </w:pPr>
      <w:r w:rsidRPr="00B35DF8">
        <w:t>Potential upside: ~</w:t>
      </w:r>
      <w:r w:rsidR="003519F6">
        <w:t>30</w:t>
      </w:r>
      <w:r w:rsidRPr="00B35DF8">
        <w:t>%</w:t>
      </w:r>
    </w:p>
    <w:p w14:paraId="4F3BBD61" w14:textId="77777777" w:rsidR="00B35DF8" w:rsidRPr="00B35DF8" w:rsidRDefault="00B35DF8" w:rsidP="00B35DF8">
      <w:pPr>
        <w:numPr>
          <w:ilvl w:val="0"/>
          <w:numId w:val="6"/>
        </w:numPr>
      </w:pPr>
      <w:r w:rsidRPr="00B35DF8">
        <w:t>Timeline: ~2–4 weeks</w:t>
      </w:r>
    </w:p>
    <w:p w14:paraId="41DD099B" w14:textId="77777777" w:rsidR="00B35DF8" w:rsidRPr="00B35DF8" w:rsidRDefault="00B35DF8" w:rsidP="00B35DF8">
      <w:r w:rsidRPr="00B35DF8">
        <w:rPr>
          <w:rFonts w:ascii="Segoe UI Emoji" w:hAnsi="Segoe UI Emoji" w:cs="Segoe UI Emoji"/>
          <w:b/>
          <w:bCs/>
        </w:rPr>
        <w:t>🧨</w:t>
      </w:r>
      <w:r w:rsidRPr="00B35DF8">
        <w:rPr>
          <w:b/>
          <w:bCs/>
        </w:rPr>
        <w:t xml:space="preserve"> Risks to Watch</w:t>
      </w:r>
    </w:p>
    <w:p w14:paraId="57C65134" w14:textId="77777777" w:rsidR="00B35DF8" w:rsidRPr="00B35DF8" w:rsidRDefault="00B35DF8" w:rsidP="003519F6">
      <w:pPr>
        <w:numPr>
          <w:ilvl w:val="0"/>
          <w:numId w:val="7"/>
        </w:numPr>
        <w:ind w:left="714" w:hanging="357"/>
        <w:contextualSpacing/>
      </w:pPr>
      <w:r w:rsidRPr="00B35DF8">
        <w:rPr>
          <w:b/>
          <w:bCs/>
        </w:rPr>
        <w:t>Deal collapse</w:t>
      </w:r>
      <w:r w:rsidRPr="00B35DF8">
        <w:t xml:space="preserve"> — would likely trigger a sharp drop in share price</w:t>
      </w:r>
    </w:p>
    <w:p w14:paraId="6E26262F" w14:textId="77777777" w:rsidR="00B35DF8" w:rsidRPr="00B35DF8" w:rsidRDefault="00B35DF8" w:rsidP="003519F6">
      <w:pPr>
        <w:numPr>
          <w:ilvl w:val="0"/>
          <w:numId w:val="7"/>
        </w:numPr>
        <w:ind w:left="714" w:hanging="357"/>
        <w:contextualSpacing/>
      </w:pPr>
      <w:r w:rsidRPr="00B35DF8">
        <w:rPr>
          <w:b/>
          <w:bCs/>
        </w:rPr>
        <w:t>Delays</w:t>
      </w:r>
      <w:r w:rsidRPr="00B35DF8">
        <w:t xml:space="preserve"> — could erode arbitrage value</w:t>
      </w:r>
    </w:p>
    <w:p w14:paraId="0E6CD5B5" w14:textId="77777777" w:rsidR="00D3710F" w:rsidRDefault="00B35DF8" w:rsidP="00B35DF8">
      <w:r w:rsidRPr="00B35DF8">
        <w:t xml:space="preserve">Yet the offer is backed by credit approval, board recommendation, and published accounts — the prerequisites for completion. </w:t>
      </w:r>
    </w:p>
    <w:p w14:paraId="676B73EC" w14:textId="67879F7E" w:rsidR="00B35DF8" w:rsidRPr="00B35DF8" w:rsidRDefault="00B35DF8" w:rsidP="00B35DF8">
      <w:r w:rsidRPr="00B35DF8">
        <w:t>A year ago, Sidara were offer</w:t>
      </w:r>
      <w:r w:rsidR="00D3710F">
        <w:t>ing</w:t>
      </w:r>
      <w:r w:rsidRPr="00B35DF8">
        <w:t xml:space="preserve"> 230p per share.</w:t>
      </w:r>
      <w:r w:rsidR="00D3710F">
        <w:t xml:space="preserve">  </w:t>
      </w:r>
      <w:r w:rsidRPr="00B35DF8">
        <w:t xml:space="preserve">Sidara </w:t>
      </w:r>
      <w:proofErr w:type="gramStart"/>
      <w:r w:rsidRPr="00B35DF8">
        <w:t>didn’t</w:t>
      </w:r>
      <w:proofErr w:type="gramEnd"/>
      <w:r w:rsidRPr="00B35DF8">
        <w:t xml:space="preserve"> just dodge a bullet then — they sidestepped a cannonball. Now, however, it looks like they are acquiring Wood </w:t>
      </w:r>
      <w:r w:rsidR="00D3710F">
        <w:t xml:space="preserve">now </w:t>
      </w:r>
      <w:r w:rsidRPr="00B35DF8">
        <w:t>at a steep discount, post-collapse.</w:t>
      </w:r>
    </w:p>
    <w:p w14:paraId="204B137B" w14:textId="77777777" w:rsidR="00B35DF8" w:rsidRPr="00B35DF8" w:rsidRDefault="00B35DF8" w:rsidP="00B35DF8">
      <w:r w:rsidRPr="00B35DF8">
        <w:rPr>
          <w:rFonts w:ascii="Segoe UI Emoji" w:hAnsi="Segoe UI Emoji" w:cs="Segoe UI Emoji"/>
          <w:b/>
          <w:bCs/>
        </w:rPr>
        <w:t>🏗️</w:t>
      </w:r>
      <w:r w:rsidRPr="00B35DF8">
        <w:rPr>
          <w:b/>
          <w:bCs/>
        </w:rPr>
        <w:t xml:space="preserve"> What’s Still Working at Wood</w:t>
      </w:r>
    </w:p>
    <w:p w14:paraId="7B371AFD" w14:textId="77777777" w:rsidR="00B35DF8" w:rsidRPr="00B35DF8" w:rsidRDefault="00B35DF8" w:rsidP="00B35DF8">
      <w:r w:rsidRPr="00B35DF8">
        <w:t>Despite its financial collapse, Wood retains core strengths:</w:t>
      </w:r>
    </w:p>
    <w:p w14:paraId="0C135CCA" w14:textId="77777777" w:rsidR="00B35DF8" w:rsidRPr="00B35DF8" w:rsidRDefault="00B35DF8" w:rsidP="00D3710F">
      <w:pPr>
        <w:numPr>
          <w:ilvl w:val="0"/>
          <w:numId w:val="8"/>
        </w:numPr>
        <w:ind w:left="714" w:hanging="357"/>
        <w:contextualSpacing/>
      </w:pPr>
      <w:r w:rsidRPr="00B35DF8">
        <w:t>$6.5bn order book — up 5.9% year-on-year</w:t>
      </w:r>
    </w:p>
    <w:p w14:paraId="5DDB750B" w14:textId="77777777" w:rsidR="00B35DF8" w:rsidRPr="00B35DF8" w:rsidRDefault="00B35DF8" w:rsidP="00D3710F">
      <w:pPr>
        <w:numPr>
          <w:ilvl w:val="0"/>
          <w:numId w:val="8"/>
        </w:numPr>
        <w:ind w:left="714" w:hanging="357"/>
        <w:contextualSpacing/>
      </w:pPr>
      <w:r w:rsidRPr="00B35DF8">
        <w:t>Technical credibility — in complex engineering and energy transition</w:t>
      </w:r>
    </w:p>
    <w:p w14:paraId="472601A9" w14:textId="77777777" w:rsidR="00B35DF8" w:rsidRPr="00B35DF8" w:rsidRDefault="00B35DF8" w:rsidP="00D3710F">
      <w:pPr>
        <w:numPr>
          <w:ilvl w:val="0"/>
          <w:numId w:val="8"/>
        </w:numPr>
        <w:ind w:left="714" w:hanging="357"/>
        <w:contextualSpacing/>
      </w:pPr>
      <w:r w:rsidRPr="00B35DF8">
        <w:t>Global client base — still awarding work despite reputational drag</w:t>
      </w:r>
    </w:p>
    <w:p w14:paraId="181A81FF" w14:textId="77777777" w:rsidR="00B35DF8" w:rsidRPr="00B35DF8" w:rsidRDefault="00B35DF8" w:rsidP="00B35DF8">
      <w:pPr>
        <w:numPr>
          <w:ilvl w:val="0"/>
          <w:numId w:val="8"/>
        </w:numPr>
      </w:pPr>
      <w:r w:rsidRPr="00B35DF8">
        <w:t>Sidara’s capital injection — $450m pledged to stabilise operations</w:t>
      </w:r>
    </w:p>
    <w:p w14:paraId="4BF9BFB2" w14:textId="77777777" w:rsidR="00B35DF8" w:rsidRPr="00B35DF8" w:rsidRDefault="00B35DF8" w:rsidP="00B35DF8">
      <w:r w:rsidRPr="00B35DF8">
        <w:t xml:space="preserve">For a variety of reasons, I just </w:t>
      </w:r>
      <w:proofErr w:type="gramStart"/>
      <w:r w:rsidRPr="00B35DF8">
        <w:t>don’t</w:t>
      </w:r>
      <w:proofErr w:type="gramEnd"/>
      <w:r w:rsidRPr="00B35DF8">
        <w:t xml:space="preserve"> see the offer being rejected.</w:t>
      </w:r>
    </w:p>
    <w:p w14:paraId="55591546" w14:textId="77777777" w:rsidR="00D3710F" w:rsidRDefault="00D3710F" w:rsidP="00B35DF8">
      <w:pPr>
        <w:rPr>
          <w:rFonts w:ascii="Segoe UI Emoji" w:hAnsi="Segoe UI Emoji" w:cs="Segoe UI Emoji"/>
          <w:b/>
          <w:bCs/>
        </w:rPr>
      </w:pPr>
    </w:p>
    <w:p w14:paraId="473BE203" w14:textId="6330772E" w:rsidR="00B35DF8" w:rsidRPr="00B35DF8" w:rsidRDefault="00B35DF8" w:rsidP="00B35DF8">
      <w:r w:rsidRPr="00B35DF8">
        <w:rPr>
          <w:rFonts w:ascii="Segoe UI Emoji" w:hAnsi="Segoe UI Emoji" w:cs="Segoe UI Emoji"/>
          <w:b/>
          <w:bCs/>
        </w:rPr>
        <w:t>🕰️</w:t>
      </w:r>
      <w:r w:rsidRPr="00B35DF8">
        <w:rPr>
          <w:b/>
          <w:bCs/>
        </w:rPr>
        <w:t xml:space="preserve"> Delay Risk: The Arbitrage Erosion Curve</w:t>
      </w:r>
    </w:p>
    <w:p w14:paraId="5F5A5877" w14:textId="77777777" w:rsidR="00B35DF8" w:rsidRPr="00B35DF8" w:rsidRDefault="00B35DF8" w:rsidP="00B35DF8">
      <w:pPr>
        <w:numPr>
          <w:ilvl w:val="0"/>
          <w:numId w:val="9"/>
        </w:numPr>
      </w:pPr>
      <w:r w:rsidRPr="00B35DF8">
        <w:rPr>
          <w:b/>
          <w:bCs/>
        </w:rPr>
        <w:t>Shareholder Vote Slippage</w:t>
      </w:r>
      <w:r w:rsidRPr="00B35DF8">
        <w:t xml:space="preserve"> Procedural hiccups — such as incomplete proxy submissions or legal challenges — could push the vote beyond November. </w:t>
      </w:r>
      <w:r w:rsidRPr="00B35DF8">
        <w:rPr>
          <w:i/>
          <w:iCs/>
        </w:rPr>
        <w:t>Delay risk: Low, but not zero.</w:t>
      </w:r>
    </w:p>
    <w:p w14:paraId="2800C318" w14:textId="77777777" w:rsidR="00B35DF8" w:rsidRPr="00B35DF8" w:rsidRDefault="00B35DF8" w:rsidP="00B35DF8">
      <w:pPr>
        <w:numPr>
          <w:ilvl w:val="0"/>
          <w:numId w:val="9"/>
        </w:numPr>
      </w:pPr>
      <w:r w:rsidRPr="00B35DF8">
        <w:rPr>
          <w:b/>
          <w:bCs/>
        </w:rPr>
        <w:t>Regulatory or Legal Review</w:t>
      </w:r>
      <w:r w:rsidRPr="00B35DF8">
        <w:t xml:space="preserve"> While no formal antitrust or regulatory blocks are expected, last-minute scrutiny (especially around Sidara’s offshore assets) could stall completion. </w:t>
      </w:r>
      <w:r w:rsidRPr="00B35DF8">
        <w:rPr>
          <w:i/>
          <w:iCs/>
        </w:rPr>
        <w:t>Delay risk: Moderate.</w:t>
      </w:r>
    </w:p>
    <w:p w14:paraId="40493ED8" w14:textId="77777777" w:rsidR="00B35DF8" w:rsidRPr="00B35DF8" w:rsidRDefault="00B35DF8" w:rsidP="00B35DF8">
      <w:pPr>
        <w:numPr>
          <w:ilvl w:val="0"/>
          <w:numId w:val="9"/>
        </w:numPr>
      </w:pPr>
      <w:r w:rsidRPr="00B35DF8">
        <w:rPr>
          <w:b/>
          <w:bCs/>
        </w:rPr>
        <w:t>Documentation or Settlement Lags</w:t>
      </w:r>
      <w:r w:rsidRPr="00B35DF8">
        <w:t xml:space="preserve"> Even after approval, the mechanics of settlement — share delisting, cash distribution, and integration — can take 2–4 weeks. Poor communication could spook short-term arbitrage holders expecting a quick exit.</w:t>
      </w:r>
    </w:p>
    <w:p w14:paraId="54FCB71D" w14:textId="77777777" w:rsidR="00B35DF8" w:rsidRPr="00B35DF8" w:rsidRDefault="00B35DF8" w:rsidP="00B35DF8">
      <w:r w:rsidRPr="00B35DF8">
        <w:rPr>
          <w:b/>
          <w:bCs/>
        </w:rPr>
        <w:t>Downside risk</w:t>
      </w:r>
      <w:r w:rsidRPr="00B35DF8">
        <w:t>: If the deal collapses, Wood’s share price could fall back toward 10–12p, wiping out gains.</w:t>
      </w:r>
    </w:p>
    <w:p w14:paraId="7E09BAC8" w14:textId="77777777" w:rsidR="00B35DF8" w:rsidRPr="00B35DF8" w:rsidRDefault="00B35DF8" w:rsidP="00B35DF8">
      <w:r w:rsidRPr="00B35DF8">
        <w:rPr>
          <w:rFonts w:ascii="Calibri" w:hAnsi="Calibri" w:cs="Calibri"/>
          <w:b/>
          <w:bCs/>
        </w:rPr>
        <w:t>🪵</w:t>
      </w:r>
      <w:r w:rsidRPr="00B35DF8">
        <w:rPr>
          <w:b/>
          <w:bCs/>
        </w:rPr>
        <w:t xml:space="preserve"> Final Word</w:t>
      </w:r>
    </w:p>
    <w:p w14:paraId="564F9665" w14:textId="13632E61" w:rsidR="00B35DF8" w:rsidRPr="00B35DF8" w:rsidRDefault="00B35DF8" w:rsidP="00B35DF8">
      <w:r w:rsidRPr="00B35DF8">
        <w:t>After years of losses, maybe it</w:t>
      </w:r>
      <w:r w:rsidR="00D3710F">
        <w:t xml:space="preserve"> i</w:t>
      </w:r>
      <w:r w:rsidRPr="00B35DF8">
        <w:t>s still worth a shot at squeezing some value out of the Wood.</w:t>
      </w:r>
    </w:p>
    <w:p w14:paraId="464997C1" w14:textId="77777777" w:rsidR="00B35DF8" w:rsidRPr="00B35DF8" w:rsidRDefault="00000000" w:rsidP="00B35DF8">
      <w:r>
        <w:pict w14:anchorId="2E1B276E">
          <v:rect id="_x0000_i1027" style="width:7in;height:.75pt" o:hrpct="0" o:hralign="center" o:hrstd="t" o:hr="t" fillcolor="#a0a0a0" stroked="f"/>
        </w:pict>
      </w:r>
    </w:p>
    <w:p w14:paraId="104F92A5" w14:textId="4CD38590" w:rsidR="00B35DF8" w:rsidRPr="00B35DF8" w:rsidRDefault="00B93A79" w:rsidP="00B35DF8">
      <w:pPr>
        <w:rPr>
          <w:b/>
          <w:bCs/>
        </w:rPr>
      </w:pPr>
      <w:r>
        <w:rPr>
          <w:b/>
          <w:bCs/>
          <w:noProof/>
        </w:rPr>
        <w:drawing>
          <wp:anchor distT="0" distB="0" distL="114300" distR="114300" simplePos="0" relativeHeight="251663360" behindDoc="1" locked="0" layoutInCell="1" allowOverlap="1" wp14:anchorId="41648300" wp14:editId="27C5DD41">
            <wp:simplePos x="0" y="0"/>
            <wp:positionH relativeFrom="column">
              <wp:posOffset>62230</wp:posOffset>
            </wp:positionH>
            <wp:positionV relativeFrom="paragraph">
              <wp:posOffset>389255</wp:posOffset>
            </wp:positionV>
            <wp:extent cx="1395730" cy="2094230"/>
            <wp:effectExtent l="0" t="0" r="0" b="1270"/>
            <wp:wrapTight wrapText="bothSides">
              <wp:wrapPolygon edited="0">
                <wp:start x="0" y="0"/>
                <wp:lineTo x="0" y="21417"/>
                <wp:lineTo x="21227" y="21417"/>
                <wp:lineTo x="21227" y="0"/>
                <wp:lineTo x="0" y="0"/>
              </wp:wrapPolygon>
            </wp:wrapTight>
            <wp:docPr id="20043016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01625" name="Picture 2004301625"/>
                    <pic:cNvPicPr/>
                  </pic:nvPicPr>
                  <pic:blipFill>
                    <a:blip r:embed="rId12"/>
                    <a:stretch>
                      <a:fillRect/>
                    </a:stretch>
                  </pic:blipFill>
                  <pic:spPr>
                    <a:xfrm>
                      <a:off x="0" y="0"/>
                      <a:ext cx="1395730" cy="2094230"/>
                    </a:xfrm>
                    <a:prstGeom prst="rect">
                      <a:avLst/>
                    </a:prstGeom>
                  </pic:spPr>
                </pic:pic>
              </a:graphicData>
            </a:graphic>
            <wp14:sizeRelH relativeFrom="margin">
              <wp14:pctWidth>0</wp14:pctWidth>
            </wp14:sizeRelH>
            <wp14:sizeRelV relativeFrom="margin">
              <wp14:pctHeight>0</wp14:pctHeight>
            </wp14:sizeRelV>
          </wp:anchor>
        </w:drawing>
      </w:r>
      <w:r w:rsidR="00B35DF8" w:rsidRPr="00B35DF8">
        <w:rPr>
          <w:rFonts w:ascii="Segoe UI Emoji" w:hAnsi="Segoe UI Emoji" w:cs="Segoe UI Emoji"/>
          <w:b/>
          <w:bCs/>
        </w:rPr>
        <w:t>🐾</w:t>
      </w:r>
      <w:r w:rsidR="00B35DF8" w:rsidRPr="00B35DF8">
        <w:rPr>
          <w:b/>
          <w:bCs/>
        </w:rPr>
        <w:t xml:space="preserve"> </w:t>
      </w:r>
      <w:r w:rsidR="00B35DF8" w:rsidRPr="00D3710F">
        <w:rPr>
          <w:b/>
          <w:bCs/>
          <w:sz w:val="32"/>
          <w:szCs w:val="32"/>
        </w:rPr>
        <w:t>BUZZ'S MATHS CORNER: Stellar Parallax</w:t>
      </w:r>
    </w:p>
    <w:p w14:paraId="57B97B03" w14:textId="4E9BDF54" w:rsidR="00B35DF8" w:rsidRPr="00B35DF8" w:rsidRDefault="00B35DF8" w:rsidP="00B35DF8">
      <w:r w:rsidRPr="00B35DF8">
        <w:t> </w:t>
      </w:r>
      <w:r w:rsidRPr="00B35DF8">
        <w:rPr>
          <w:b/>
          <w:bCs/>
        </w:rPr>
        <w:t>“Why I Tilt My Head (and How It Helps Measure Stars)”</w:t>
      </w:r>
    </w:p>
    <w:p w14:paraId="01B10F57" w14:textId="77777777" w:rsidR="00B35DF8" w:rsidRPr="00B35DF8" w:rsidRDefault="00B35DF8" w:rsidP="00B35DF8">
      <w:r w:rsidRPr="00B35DF8">
        <w:t xml:space="preserve">You know how I sometimes tilt my head when you call my name? </w:t>
      </w:r>
      <w:proofErr w:type="gramStart"/>
      <w:r w:rsidRPr="00B35DF8">
        <w:t>That’s</w:t>
      </w:r>
      <w:proofErr w:type="gramEnd"/>
      <w:r w:rsidRPr="00B35DF8">
        <w:t xml:space="preserve"> not just to look cute — </w:t>
      </w:r>
      <w:proofErr w:type="gramStart"/>
      <w:r w:rsidRPr="00B35DF8">
        <w:t>it’s</w:t>
      </w:r>
      <w:proofErr w:type="gramEnd"/>
      <w:r w:rsidRPr="00B35DF8">
        <w:t xml:space="preserve"> to get a better angle. And believe it or not, that’s how astronomers measure the distance to stars.</w:t>
      </w:r>
    </w:p>
    <w:p w14:paraId="00A629A4" w14:textId="32C8E80E" w:rsidR="00B35DF8" w:rsidRPr="00B35DF8" w:rsidRDefault="00B93A79" w:rsidP="00B35DF8">
      <w:r w:rsidRPr="00E80D2E">
        <w:rPr>
          <w:noProof/>
        </w:rPr>
        <w:drawing>
          <wp:anchor distT="0" distB="0" distL="114300" distR="114300" simplePos="0" relativeHeight="251665408" behindDoc="1" locked="0" layoutInCell="1" allowOverlap="1" wp14:anchorId="5B6E170B" wp14:editId="56F084A8">
            <wp:simplePos x="0" y="0"/>
            <wp:positionH relativeFrom="margin">
              <wp:posOffset>3350547</wp:posOffset>
            </wp:positionH>
            <wp:positionV relativeFrom="paragraph">
              <wp:posOffset>226019</wp:posOffset>
            </wp:positionV>
            <wp:extent cx="2241550" cy="2014855"/>
            <wp:effectExtent l="0" t="0" r="6350" b="4445"/>
            <wp:wrapTight wrapText="bothSides">
              <wp:wrapPolygon edited="0">
                <wp:start x="0" y="0"/>
                <wp:lineTo x="0" y="21443"/>
                <wp:lineTo x="21478" y="21443"/>
                <wp:lineTo x="21478" y="0"/>
                <wp:lineTo x="0" y="0"/>
              </wp:wrapPolygon>
            </wp:wrapTight>
            <wp:docPr id="301539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39588" name=""/>
                    <pic:cNvPicPr/>
                  </pic:nvPicPr>
                  <pic:blipFill>
                    <a:blip r:embed="rId13">
                      <a:extLst>
                        <a:ext uri="{28A0092B-C50C-407E-A947-70E740481C1C}">
                          <a14:useLocalDpi xmlns:a14="http://schemas.microsoft.com/office/drawing/2010/main" val="0"/>
                        </a:ext>
                      </a:extLst>
                    </a:blip>
                    <a:stretch>
                      <a:fillRect/>
                    </a:stretch>
                  </pic:blipFill>
                  <pic:spPr>
                    <a:xfrm>
                      <a:off x="0" y="0"/>
                      <a:ext cx="2241550" cy="201485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B35DF8" w:rsidRPr="00B35DF8">
        <w:t>It’s</w:t>
      </w:r>
      <w:proofErr w:type="gramEnd"/>
      <w:r w:rsidR="00B35DF8" w:rsidRPr="00B35DF8">
        <w:t xml:space="preserve"> called </w:t>
      </w:r>
      <w:r w:rsidR="00B35DF8" w:rsidRPr="00B35DF8">
        <w:rPr>
          <w:b/>
          <w:bCs/>
        </w:rPr>
        <w:t>stellar parallax</w:t>
      </w:r>
      <w:r w:rsidR="00B35DF8" w:rsidRPr="00B35DF8">
        <w:t xml:space="preserve"> — a fancy term for what happens when you look at something from two different spots and it seems to shift. Try this: hold out a treat (please) and look at it with one eye, then the other. See how it jumps? </w:t>
      </w:r>
      <w:proofErr w:type="gramStart"/>
      <w:r w:rsidR="00B35DF8" w:rsidRPr="00B35DF8">
        <w:t>That’s</w:t>
      </w:r>
      <w:proofErr w:type="gramEnd"/>
      <w:r w:rsidR="00B35DF8" w:rsidRPr="00B35DF8">
        <w:t xml:space="preserve"> parallax.</w:t>
      </w:r>
    </w:p>
    <w:p w14:paraId="0198326E" w14:textId="1AFE8F37" w:rsidR="00B35DF8" w:rsidRPr="00B35DF8" w:rsidRDefault="00B35DF8" w:rsidP="00B35DF8">
      <w:r w:rsidRPr="00B35DF8">
        <w:t xml:space="preserve">Now imagine Earth doing the same thing. It orbits the Sun, so six months apart, </w:t>
      </w:r>
      <w:proofErr w:type="gramStart"/>
      <w:r w:rsidRPr="00B35DF8">
        <w:t>it’s</w:t>
      </w:r>
      <w:proofErr w:type="gramEnd"/>
      <w:r w:rsidRPr="00B35DF8">
        <w:t xml:space="preserve"> on opposite sides of its path — like me standing on the left side of the garden in January, then the right side in July. If I stare at a nearby lamppost (or star), </w:t>
      </w:r>
      <w:proofErr w:type="gramStart"/>
      <w:r w:rsidRPr="00B35DF8">
        <w:t>it’ll</w:t>
      </w:r>
      <w:proofErr w:type="gramEnd"/>
      <w:r w:rsidRPr="00B35DF8">
        <w:t xml:space="preserve"> look like </w:t>
      </w:r>
      <w:proofErr w:type="gramStart"/>
      <w:r w:rsidRPr="00B35DF8">
        <w:t>it’s</w:t>
      </w:r>
      <w:proofErr w:type="gramEnd"/>
      <w:r w:rsidRPr="00B35DF8">
        <w:t xml:space="preserve"> moved a bit against the background trees (or distant stars). That tiny shift — measured in arcseconds — tells you how far away the lamppost is.</w:t>
      </w:r>
      <w:r w:rsidR="00B93A79" w:rsidRPr="00B93A79">
        <w:rPr>
          <w:noProof/>
        </w:rPr>
        <w:t xml:space="preserve"> </w:t>
      </w:r>
    </w:p>
    <w:p w14:paraId="6DD7A70D" w14:textId="77777777" w:rsidR="00B93A79" w:rsidRDefault="00B93A79" w:rsidP="00B35DF8"/>
    <w:p w14:paraId="46D352C3" w14:textId="641DFF4A" w:rsidR="00B35DF8" w:rsidRPr="00B35DF8" w:rsidRDefault="00B35DF8" w:rsidP="00B35DF8">
      <w:r w:rsidRPr="00B35DF8">
        <w:t>Astronomers use this to calculate stellar distances with trigonometry. I use it to calculate how far I need to leap to reach the biscuit tin.</w:t>
      </w:r>
    </w:p>
    <w:p w14:paraId="341AE162" w14:textId="60464822" w:rsidR="00B35DF8" w:rsidRPr="00B35DF8" w:rsidRDefault="00B35DF8" w:rsidP="00B35DF8">
      <w:r w:rsidRPr="00B35DF8">
        <w:t xml:space="preserve">So next time you see me squinting at the sky, </w:t>
      </w:r>
      <w:proofErr w:type="gramStart"/>
      <w:r w:rsidRPr="00B35DF8">
        <w:t>I’m</w:t>
      </w:r>
      <w:proofErr w:type="gramEnd"/>
      <w:r w:rsidRPr="00B35DF8">
        <w:t xml:space="preserve"> not just chasing pigeons. </w:t>
      </w:r>
      <w:proofErr w:type="gramStart"/>
      <w:r w:rsidRPr="00B35DF8">
        <w:t>I’m</w:t>
      </w:r>
      <w:proofErr w:type="gramEnd"/>
      <w:r w:rsidRPr="00B35DF8">
        <w:t xml:space="preserve"> mapping the cosmos.</w:t>
      </w:r>
    </w:p>
    <w:p w14:paraId="064530CA" w14:textId="77777777" w:rsidR="00B35DF8" w:rsidRPr="00B35DF8" w:rsidRDefault="00B35DF8" w:rsidP="00B35DF8">
      <w:r w:rsidRPr="00B35DF8">
        <w:rPr>
          <w:i/>
          <w:iCs/>
        </w:rPr>
        <w:t>— Buzz, Chief Parallax Officer at KTS</w:t>
      </w:r>
    </w:p>
    <w:p w14:paraId="276D741A" w14:textId="77777777" w:rsidR="00B35DF8" w:rsidRPr="00B35DF8" w:rsidRDefault="00B35DF8" w:rsidP="00B35DF8">
      <w:r w:rsidRPr="00B35DF8">
        <w:t>And here’s how astronomers use it:</w:t>
      </w:r>
    </w:p>
    <w:p w14:paraId="2D0BBE32" w14:textId="77777777" w:rsidR="00B35DF8" w:rsidRPr="00B35DF8" w:rsidRDefault="00B35DF8" w:rsidP="00B93A79">
      <w:pPr>
        <w:numPr>
          <w:ilvl w:val="0"/>
          <w:numId w:val="10"/>
        </w:numPr>
        <w:ind w:left="714" w:hanging="357"/>
        <w:contextualSpacing/>
      </w:pPr>
      <w:r w:rsidRPr="00B35DF8">
        <w:t xml:space="preserve">The </w:t>
      </w:r>
      <w:r w:rsidRPr="00B35DF8">
        <w:rPr>
          <w:b/>
          <w:bCs/>
        </w:rPr>
        <w:t>baseline</w:t>
      </w:r>
      <w:r w:rsidRPr="00B35DF8">
        <w:t xml:space="preserve"> is the diameter of Earth’s orbit (2 AU).</w:t>
      </w:r>
    </w:p>
    <w:p w14:paraId="368C5935" w14:textId="77777777" w:rsidR="00B35DF8" w:rsidRPr="00B35DF8" w:rsidRDefault="00B35DF8" w:rsidP="00B93A79">
      <w:pPr>
        <w:numPr>
          <w:ilvl w:val="0"/>
          <w:numId w:val="10"/>
        </w:numPr>
        <w:ind w:left="714" w:hanging="357"/>
        <w:contextualSpacing/>
      </w:pPr>
      <w:r w:rsidRPr="00B35DF8">
        <w:t xml:space="preserve">The </w:t>
      </w:r>
      <w:r w:rsidRPr="00B35DF8">
        <w:rPr>
          <w:b/>
          <w:bCs/>
        </w:rPr>
        <w:t>angle</w:t>
      </w:r>
      <w:r w:rsidRPr="00B35DF8">
        <w:t xml:space="preserve"> is the parallax angle (half the total shift).</w:t>
      </w:r>
    </w:p>
    <w:p w14:paraId="41472650" w14:textId="77777777" w:rsidR="00B35DF8" w:rsidRPr="00B35DF8" w:rsidRDefault="00B35DF8" w:rsidP="00B93A79">
      <w:pPr>
        <w:numPr>
          <w:ilvl w:val="0"/>
          <w:numId w:val="10"/>
        </w:numPr>
        <w:ind w:left="714" w:hanging="357"/>
        <w:contextualSpacing/>
      </w:pPr>
      <w:r w:rsidRPr="00B35DF8">
        <w:t xml:space="preserve">The </w:t>
      </w:r>
      <w:r w:rsidRPr="00B35DF8">
        <w:rPr>
          <w:b/>
          <w:bCs/>
        </w:rPr>
        <w:t>opposite side</w:t>
      </w:r>
      <w:r w:rsidRPr="00B35DF8">
        <w:t xml:space="preserve"> is the apparent shift in the star’s position.</w:t>
      </w:r>
    </w:p>
    <w:p w14:paraId="61959FA8" w14:textId="77777777" w:rsidR="00B35DF8" w:rsidRPr="00B35DF8" w:rsidRDefault="00B35DF8" w:rsidP="00B35DF8">
      <w:pPr>
        <w:numPr>
          <w:ilvl w:val="0"/>
          <w:numId w:val="10"/>
        </w:numPr>
      </w:pPr>
      <w:r w:rsidRPr="00B35DF8">
        <w:t xml:space="preserve">The </w:t>
      </w:r>
      <w:r w:rsidRPr="00B35DF8">
        <w:rPr>
          <w:b/>
          <w:bCs/>
        </w:rPr>
        <w:t>adjacent side</w:t>
      </w:r>
      <w:r w:rsidRPr="00B35DF8">
        <w:t xml:space="preserve"> is the distance to the star.</w:t>
      </w:r>
    </w:p>
    <w:p w14:paraId="441ACCA5" w14:textId="77777777" w:rsidR="00B35DF8" w:rsidRDefault="00B35DF8" w:rsidP="00B35DF8">
      <w:r w:rsidRPr="00B35DF8">
        <w:t xml:space="preserve">This forms a </w:t>
      </w:r>
      <w:r w:rsidRPr="00B35DF8">
        <w:rPr>
          <w:b/>
          <w:bCs/>
        </w:rPr>
        <w:t>right triangle</w:t>
      </w:r>
      <w:r w:rsidRPr="00B35DF8">
        <w:t>, allowing us to use basic trigonometry:</w:t>
      </w:r>
    </w:p>
    <w:p w14:paraId="64B82568" w14:textId="32C673D5" w:rsidR="00B93A79" w:rsidRPr="00B35DF8" w:rsidRDefault="00B93A79" w:rsidP="00B35DF8">
      <m:oMathPara>
        <m:oMath>
          <m:r>
            <w:rPr>
              <w:rFonts w:ascii="Cambria Math" w:hAnsi="Cambria Math"/>
            </w:rPr>
            <m:t>tan</m:t>
          </m:r>
          <m:d>
            <m:dPr>
              <m:ctrlPr>
                <w:rPr>
                  <w:rFonts w:ascii="Cambria Math" w:hAnsi="Cambria Math"/>
                  <w:i/>
                </w:rPr>
              </m:ctrlPr>
            </m:dPr>
            <m:e>
              <m:r>
                <w:rPr>
                  <w:rFonts w:ascii="Cambria Math" w:hAnsi="Cambria Math"/>
                </w:rPr>
                <m:t>p</m:t>
              </m:r>
            </m:e>
          </m:d>
          <m:r>
            <w:rPr>
              <w:rFonts w:ascii="Cambria Math" w:hAnsi="Cambria Math"/>
            </w:rPr>
            <m:t>=</m:t>
          </m:r>
          <m:f>
            <m:fPr>
              <m:ctrlPr>
                <w:rPr>
                  <w:rFonts w:ascii="Cambria Math" w:hAnsi="Cambria Math"/>
                  <w:i/>
                </w:rPr>
              </m:ctrlPr>
            </m:fPr>
            <m:num>
              <m:r>
                <w:rPr>
                  <w:rFonts w:ascii="Cambria Math" w:hAnsi="Cambria Math"/>
                </w:rPr>
                <m:t>1 AU</m:t>
              </m:r>
            </m:num>
            <m:den>
              <m:r>
                <w:rPr>
                  <w:rFonts w:ascii="Cambria Math" w:hAnsi="Cambria Math"/>
                </w:rPr>
                <m:t>d</m:t>
              </m:r>
            </m:den>
          </m:f>
        </m:oMath>
      </m:oMathPara>
    </w:p>
    <w:p w14:paraId="7E74FDEA" w14:textId="77777777" w:rsidR="00B35DF8" w:rsidRPr="00B35DF8" w:rsidRDefault="00B35DF8" w:rsidP="00B35DF8">
      <w:r w:rsidRPr="00B35DF8">
        <w:t xml:space="preserve">Where p is the parallax angle and d </w:t>
      </w:r>
      <w:proofErr w:type="gramStart"/>
      <w:r w:rsidRPr="00B35DF8">
        <w:t>is</w:t>
      </w:r>
      <w:proofErr w:type="gramEnd"/>
      <w:r w:rsidRPr="00B35DF8">
        <w:t xml:space="preserve"> the distance to the star and 1 AU is the astronomical unit, equal to the average distance between the earth and the sun.</w:t>
      </w:r>
    </w:p>
    <w:p w14:paraId="693DFC75" w14:textId="77777777" w:rsidR="00B35DF8" w:rsidRPr="00B35DF8" w:rsidRDefault="00B35DF8" w:rsidP="00B35DF8">
      <w:r w:rsidRPr="00B35DF8">
        <w:t xml:space="preserve">Sounds easy?  </w:t>
      </w:r>
      <w:proofErr w:type="gramStart"/>
      <w:r w:rsidRPr="00B35DF8">
        <w:t>Actually, its</w:t>
      </w:r>
      <w:proofErr w:type="gramEnd"/>
      <w:r w:rsidRPr="00B35DF8">
        <w:t xml:space="preserve"> practical limits depend on instrument precision, and it </w:t>
      </w:r>
      <w:proofErr w:type="gramStart"/>
      <w:r w:rsidRPr="00B35DF8">
        <w:t>wasn’t</w:t>
      </w:r>
      <w:proofErr w:type="gramEnd"/>
      <w:r w:rsidRPr="00B35DF8">
        <w:t xml:space="preserve"> until the 1830’s that the method was first successfully used to measure the distance to a star.</w:t>
      </w:r>
    </w:p>
    <w:p w14:paraId="0A0AF77D" w14:textId="77777777" w:rsidR="00B35DF8" w:rsidRPr="00B35DF8" w:rsidRDefault="00B35DF8" w:rsidP="00B35DF8">
      <w:r w:rsidRPr="00B35DF8">
        <w:t>And it has practical limitations:</w:t>
      </w:r>
    </w:p>
    <w:p w14:paraId="61C527DC" w14:textId="77777777" w:rsidR="00B35DF8" w:rsidRPr="00B35DF8" w:rsidRDefault="00B35DF8" w:rsidP="00B35DF8">
      <w:pPr>
        <w:numPr>
          <w:ilvl w:val="0"/>
          <w:numId w:val="11"/>
        </w:numPr>
      </w:pPr>
      <w:r w:rsidRPr="00B35DF8">
        <w:t>Even for nearby stars, parallax angles are less than 1 arcsecond. These are tiny angles and difficult to measure.</w:t>
      </w:r>
    </w:p>
    <w:p w14:paraId="63971EA0" w14:textId="77777777" w:rsidR="00B35DF8" w:rsidRPr="00B35DF8" w:rsidRDefault="00B35DF8" w:rsidP="00B35DF8">
      <w:pPr>
        <w:numPr>
          <w:ilvl w:val="0"/>
          <w:numId w:val="11"/>
        </w:numPr>
      </w:pPr>
      <w:r w:rsidRPr="00B35DF8">
        <w:t>And, due to atmospheric distortion, observations made from ground-based observatories are unreliable above about 100 parsecs.  (</w:t>
      </w:r>
      <w:proofErr w:type="gramStart"/>
      <w:r w:rsidRPr="00B35DF8">
        <w:t>That’s</w:t>
      </w:r>
      <w:proofErr w:type="gramEnd"/>
      <w:r w:rsidRPr="00B35DF8">
        <w:t xml:space="preserve"> still quite far, though). </w:t>
      </w:r>
    </w:p>
    <w:p w14:paraId="377EDC0F" w14:textId="77777777" w:rsidR="00B35DF8" w:rsidRPr="00B35DF8" w:rsidRDefault="00B35DF8" w:rsidP="00B35DF8">
      <w:pPr>
        <w:numPr>
          <w:ilvl w:val="0"/>
          <w:numId w:val="11"/>
        </w:numPr>
      </w:pPr>
      <w:r w:rsidRPr="00B35DF8">
        <w:t>Space-based telescopes have extended reliable measurements to several thousand parsecs (10,000–30,000 light-years).</w:t>
      </w:r>
    </w:p>
    <w:p w14:paraId="18CCEF90" w14:textId="77777777" w:rsidR="00B35DF8" w:rsidRPr="00B35DF8" w:rsidRDefault="00B35DF8" w:rsidP="00B35DF8">
      <w:r w:rsidRPr="00B35DF8">
        <w:t xml:space="preserve">If you want to measure the distance to anything outside the Milky Way, </w:t>
      </w:r>
      <w:proofErr w:type="gramStart"/>
      <w:r w:rsidRPr="00B35DF8">
        <w:t>I’m</w:t>
      </w:r>
      <w:proofErr w:type="gramEnd"/>
      <w:r w:rsidRPr="00B35DF8">
        <w:t xml:space="preserve"> afraid tilting your head </w:t>
      </w:r>
      <w:proofErr w:type="gramStart"/>
      <w:r w:rsidRPr="00B35DF8">
        <w:t>won’t</w:t>
      </w:r>
      <w:proofErr w:type="gramEnd"/>
      <w:r w:rsidRPr="00B35DF8">
        <w:t xml:space="preserve"> cut it.  </w:t>
      </w:r>
      <w:proofErr w:type="gramStart"/>
      <w:r w:rsidRPr="00B35DF8">
        <w:t>You’ll</w:t>
      </w:r>
      <w:proofErr w:type="gramEnd"/>
      <w:r w:rsidRPr="00B35DF8">
        <w:t xml:space="preserve"> need a very long tape measure.</w:t>
      </w:r>
    </w:p>
    <w:p w14:paraId="090F1F10" w14:textId="77777777" w:rsidR="00B35DF8" w:rsidRPr="00B35DF8" w:rsidRDefault="00000000" w:rsidP="00B35DF8">
      <w:r>
        <w:pict w14:anchorId="62C4781B">
          <v:rect id="_x0000_i1028" style="width:7in;height:.75pt" o:hrpct="0" o:hralign="center" o:hrstd="t" o:hr="t" fillcolor="#a0a0a0" stroked="f"/>
        </w:pict>
      </w:r>
    </w:p>
    <w:p w14:paraId="672BC55A" w14:textId="77777777" w:rsidR="003704EC" w:rsidRDefault="003704EC">
      <w:pPr>
        <w:rPr>
          <w:rFonts w:ascii="Segoe UI Emoji" w:hAnsi="Segoe UI Emoji" w:cs="Segoe UI Emoji"/>
          <w:b/>
          <w:bCs/>
        </w:rPr>
      </w:pPr>
      <w:r>
        <w:rPr>
          <w:rFonts w:ascii="Segoe UI Emoji" w:hAnsi="Segoe UI Emoji" w:cs="Segoe UI Emoji"/>
          <w:b/>
          <w:bCs/>
        </w:rPr>
        <w:br w:type="page"/>
      </w:r>
    </w:p>
    <w:p w14:paraId="5746179D" w14:textId="77777777" w:rsidR="003704EC" w:rsidRDefault="003704EC" w:rsidP="003704EC">
      <w:pPr>
        <w:spacing w:before="240"/>
        <w:rPr>
          <w:rFonts w:ascii="Segoe UI Emoji" w:hAnsi="Segoe UI Emoji" w:cs="Segoe UI Emoji"/>
          <w:b/>
          <w:bCs/>
        </w:rPr>
      </w:pPr>
    </w:p>
    <w:p w14:paraId="242761AF" w14:textId="4D91390A" w:rsidR="00B35DF8" w:rsidRPr="00B35DF8" w:rsidRDefault="00B35DF8" w:rsidP="003704EC">
      <w:pPr>
        <w:spacing w:before="240"/>
        <w:rPr>
          <w:b/>
          <w:bCs/>
        </w:rPr>
      </w:pPr>
      <w:r w:rsidRPr="00B35DF8">
        <w:rPr>
          <w:rFonts w:ascii="Segoe UI Emoji" w:hAnsi="Segoe UI Emoji" w:cs="Segoe UI Emoji"/>
          <w:b/>
          <w:bCs/>
        </w:rPr>
        <w:t>🔧</w:t>
      </w:r>
      <w:r w:rsidRPr="00B35DF8">
        <w:rPr>
          <w:b/>
          <w:bCs/>
        </w:rPr>
        <w:t xml:space="preserve"> </w:t>
      </w:r>
      <w:r w:rsidRPr="003704EC">
        <w:rPr>
          <w:b/>
          <w:bCs/>
          <w:sz w:val="32"/>
          <w:szCs w:val="32"/>
        </w:rPr>
        <w:t>AI Update: KTS Issues new Piping Design Specification</w:t>
      </w:r>
    </w:p>
    <w:p w14:paraId="18E26D1B" w14:textId="77777777" w:rsidR="00B35DF8" w:rsidRPr="00B35DF8" w:rsidRDefault="00B35DF8" w:rsidP="00B35DF8">
      <w:r w:rsidRPr="00B35DF8">
        <w:t xml:space="preserve">Kearns Technical Solutions is proud to publish the </w:t>
      </w:r>
      <w:r w:rsidRPr="00B35DF8">
        <w:rPr>
          <w:b/>
          <w:bCs/>
        </w:rPr>
        <w:t>Piping Discipline Specification – PIP-001-REV0</w:t>
      </w:r>
      <w:r w:rsidRPr="00B35DF8">
        <w:t>, formalizing our approach to team structure, digital integration, and AI-enabled workflows across the piping lifecycle.</w:t>
      </w:r>
    </w:p>
    <w:p w14:paraId="418067A5" w14:textId="77777777" w:rsidR="00B35DF8" w:rsidRPr="00B35DF8" w:rsidRDefault="00B35DF8" w:rsidP="00B35DF8">
      <w:r w:rsidRPr="00B35DF8">
        <w:t>This document sets out:</w:t>
      </w:r>
    </w:p>
    <w:p w14:paraId="7614FFAD" w14:textId="77777777" w:rsidR="00B35DF8" w:rsidRPr="00B35DF8" w:rsidRDefault="00B35DF8" w:rsidP="003704EC">
      <w:pPr>
        <w:numPr>
          <w:ilvl w:val="0"/>
          <w:numId w:val="12"/>
        </w:numPr>
        <w:ind w:left="714" w:hanging="357"/>
        <w:contextualSpacing/>
      </w:pPr>
      <w:r w:rsidRPr="00B35DF8">
        <w:t xml:space="preserve">Defined roles and reporting lines via the </w:t>
      </w:r>
      <w:r w:rsidRPr="00B35DF8">
        <w:rPr>
          <w:b/>
          <w:bCs/>
        </w:rPr>
        <w:t>RRM-001 matrix</w:t>
      </w:r>
    </w:p>
    <w:p w14:paraId="1EA18EC7" w14:textId="77777777" w:rsidR="00B35DF8" w:rsidRPr="00B35DF8" w:rsidRDefault="00B35DF8" w:rsidP="003704EC">
      <w:pPr>
        <w:numPr>
          <w:ilvl w:val="0"/>
          <w:numId w:val="12"/>
        </w:numPr>
        <w:ind w:left="714" w:hanging="357"/>
        <w:contextualSpacing/>
      </w:pPr>
      <w:r w:rsidRPr="00B35DF8">
        <w:t>AI-enhanced protocols for line list validation, routing, and clash detection</w:t>
      </w:r>
    </w:p>
    <w:p w14:paraId="36EF36BE" w14:textId="77777777" w:rsidR="00B35DF8" w:rsidRPr="00B35DF8" w:rsidRDefault="00B35DF8" w:rsidP="003704EC">
      <w:pPr>
        <w:numPr>
          <w:ilvl w:val="0"/>
          <w:numId w:val="12"/>
        </w:numPr>
        <w:ind w:left="714" w:hanging="357"/>
        <w:contextualSpacing/>
      </w:pPr>
      <w:r w:rsidRPr="00B35DF8">
        <w:t>Smart MTO and MR generation, predictive maintenance, and digital twin readiness</w:t>
      </w:r>
    </w:p>
    <w:p w14:paraId="1213F7AF" w14:textId="77777777" w:rsidR="00B35DF8" w:rsidRPr="00B35DF8" w:rsidRDefault="00B35DF8" w:rsidP="00B35DF8">
      <w:pPr>
        <w:numPr>
          <w:ilvl w:val="0"/>
          <w:numId w:val="12"/>
        </w:numPr>
      </w:pPr>
      <w:r w:rsidRPr="00B35DF8">
        <w:t>Clear authorship, metadata compliance, and version control</w:t>
      </w:r>
    </w:p>
    <w:p w14:paraId="2311B431" w14:textId="77777777" w:rsidR="00B35DF8" w:rsidRPr="00B35DF8" w:rsidRDefault="00B35DF8" w:rsidP="00B35DF8">
      <w:r w:rsidRPr="00B35DF8">
        <w:rPr>
          <w:rFonts w:ascii="Segoe UI Emoji" w:hAnsi="Segoe UI Emoji" w:cs="Segoe UI Emoji"/>
        </w:rPr>
        <w:t>📄</w:t>
      </w:r>
      <w:r w:rsidRPr="00B35DF8">
        <w:t xml:space="preserve"> </w:t>
      </w:r>
      <w:hyperlink r:id="rId14" w:history="1">
        <w:r w:rsidRPr="00B35DF8">
          <w:rPr>
            <w:rStyle w:val="Hyperlink"/>
            <w:b/>
            <w:bCs/>
          </w:rPr>
          <w:t>KTS-PIP-001-REV0</w:t>
        </w:r>
      </w:hyperlink>
    </w:p>
    <w:p w14:paraId="793A7771" w14:textId="77777777" w:rsidR="00B35DF8" w:rsidRPr="00B35DF8" w:rsidRDefault="00B35DF8" w:rsidP="00B35DF8">
      <w:r w:rsidRPr="00B35DF8">
        <w:t>This marks a key milestone in KTS’s commitment to clarity, accountability, and modern engineering practice.</w:t>
      </w:r>
    </w:p>
    <w:p w14:paraId="53051A5E" w14:textId="77777777" w:rsidR="00B35DF8" w:rsidRPr="00B35DF8" w:rsidRDefault="00000000" w:rsidP="00B35DF8">
      <w:r>
        <w:pict w14:anchorId="26409926">
          <v:rect id="_x0000_i1029" style="width:7in;height:.75pt" o:hrpct="0" o:hralign="center" o:hrstd="t" o:hr="t" fillcolor="#a0a0a0" stroked="f"/>
        </w:pict>
      </w:r>
    </w:p>
    <w:p w14:paraId="336F6D31" w14:textId="77777777" w:rsidR="005C0E78" w:rsidRDefault="005C0E78"/>
    <w:sectPr w:rsidR="005C0E78">
      <w:headerReference w:type="default" r:id="rId15"/>
      <w:footerReference w:type="default" r:id="rId1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6C8110" w14:textId="77777777" w:rsidR="00512047" w:rsidRDefault="00512047" w:rsidP="00B35DF8">
      <w:pPr>
        <w:spacing w:after="0" w:line="240" w:lineRule="auto"/>
      </w:pPr>
      <w:r>
        <w:separator/>
      </w:r>
    </w:p>
  </w:endnote>
  <w:endnote w:type="continuationSeparator" w:id="0">
    <w:p w14:paraId="69D42BB6" w14:textId="77777777" w:rsidR="00512047" w:rsidRDefault="00512047" w:rsidP="00B35D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Elephant">
    <w:panose1 w:val="0202090409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3462092"/>
      <w:docPartObj>
        <w:docPartGallery w:val="Page Numbers (Bottom of Page)"/>
        <w:docPartUnique/>
      </w:docPartObj>
    </w:sdtPr>
    <w:sdtContent>
      <w:sdt>
        <w:sdtPr>
          <w:id w:val="-1705238520"/>
          <w:docPartObj>
            <w:docPartGallery w:val="Page Numbers (Top of Page)"/>
            <w:docPartUnique/>
          </w:docPartObj>
        </w:sdtPr>
        <w:sdtContent>
          <w:p w14:paraId="4BC8DC5C" w14:textId="6948506B" w:rsidR="009C170F" w:rsidRDefault="009C170F">
            <w:pPr>
              <w:pStyle w:val="Foo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407EF2CE" w14:textId="77777777" w:rsidR="009C170F" w:rsidRDefault="009C17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0CA355" w14:textId="77777777" w:rsidR="00512047" w:rsidRDefault="00512047" w:rsidP="00B35DF8">
      <w:pPr>
        <w:spacing w:after="0" w:line="240" w:lineRule="auto"/>
      </w:pPr>
      <w:r>
        <w:separator/>
      </w:r>
    </w:p>
  </w:footnote>
  <w:footnote w:type="continuationSeparator" w:id="0">
    <w:p w14:paraId="6B96F014" w14:textId="77777777" w:rsidR="00512047" w:rsidRDefault="00512047" w:rsidP="00B35D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15F15" w14:textId="034D5560" w:rsidR="00B35DF8" w:rsidRDefault="00B35DF8" w:rsidP="00C96696">
    <w:pPr>
      <w:pStyle w:val="Header"/>
      <w:jc w:val="center"/>
      <w:rPr>
        <w:rFonts w:ascii="Elephant" w:hAnsi="Elephant"/>
        <w:i/>
        <w:iCs/>
        <w:noProof/>
        <w:color w:val="00B050"/>
        <w:sz w:val="20"/>
        <w:szCs w:val="20"/>
      </w:rPr>
    </w:pPr>
    <w:r w:rsidRPr="00B35DF8">
      <w:rPr>
        <w:rFonts w:ascii="Elephant" w:hAnsi="Elephant"/>
        <w:noProof/>
        <w:color w:val="00B050"/>
        <w:sz w:val="40"/>
        <w:szCs w:val="40"/>
      </w:rPr>
      <w:t>K</w:t>
    </w:r>
    <w:r>
      <w:rPr>
        <w:rFonts w:ascii="Elephant" w:hAnsi="Elephant"/>
        <w:noProof/>
        <w:color w:val="00B050"/>
        <w:sz w:val="40"/>
        <w:szCs w:val="40"/>
      </w:rPr>
      <w:t>TS NEWSLETTER</w:t>
    </w:r>
  </w:p>
  <w:p w14:paraId="0D02DC0B" w14:textId="31562527" w:rsidR="00B35DF8" w:rsidRPr="00B35DF8" w:rsidRDefault="00C96696" w:rsidP="00B35DF8">
    <w:pPr>
      <w:pStyle w:val="Header"/>
      <w:jc w:val="center"/>
      <w:rPr>
        <w:rFonts w:ascii="Elephant" w:hAnsi="Elephant"/>
        <w:color w:val="00B050"/>
        <w:sz w:val="28"/>
        <w:szCs w:val="28"/>
      </w:rPr>
    </w:pPr>
    <w:r w:rsidRPr="00B35DF8">
      <w:rPr>
        <w:rFonts w:ascii="Elephant" w:hAnsi="Elephant"/>
        <w:i/>
        <w:iCs/>
        <w:noProof/>
        <w:color w:val="00B050"/>
        <w:sz w:val="20"/>
        <w:szCs w:val="20"/>
      </w:rPr>
      <w:t>I</w:t>
    </w:r>
    <w:r>
      <w:rPr>
        <w:rFonts w:ascii="Elephant" w:hAnsi="Elephant"/>
        <w:i/>
        <w:iCs/>
        <w:noProof/>
        <w:color w:val="00B050"/>
        <w:sz w:val="20"/>
        <w:szCs w:val="20"/>
      </w:rPr>
      <w:t>ssue number 1</w:t>
    </w:r>
    <w:r>
      <w:rPr>
        <w:rFonts w:ascii="Elephant" w:hAnsi="Elephant"/>
        <w:i/>
        <w:iCs/>
        <w:noProof/>
        <w:color w:val="00B050"/>
        <w:sz w:val="20"/>
        <w:szCs w:val="20"/>
      </w:rPr>
      <w:tab/>
    </w:r>
    <w:r w:rsidR="00B35DF8">
      <w:rPr>
        <w:rFonts w:ascii="Elephant" w:hAnsi="Elephant"/>
        <w:noProof/>
        <w:color w:val="00B050"/>
        <w:sz w:val="28"/>
        <w:szCs w:val="28"/>
      </w:rPr>
      <w:t xml:space="preserve">Kearns Technical Solutions Ltd </w:t>
    </w:r>
    <w:r>
      <w:rPr>
        <w:rFonts w:ascii="Elephant" w:hAnsi="Elephant"/>
        <w:noProof/>
        <w:color w:val="00B050"/>
        <w:sz w:val="28"/>
        <w:szCs w:val="28"/>
      </w:rPr>
      <w:tab/>
    </w:r>
    <w:r>
      <w:rPr>
        <w:rFonts w:ascii="Elephant" w:hAnsi="Elephant"/>
        <w:i/>
        <w:iCs/>
        <w:noProof/>
        <w:color w:val="00B050"/>
        <w:sz w:val="20"/>
        <w:szCs w:val="20"/>
      </w:rPr>
      <w:t>November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13049D"/>
    <w:multiLevelType w:val="multilevel"/>
    <w:tmpl w:val="4A8AF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6311D7"/>
    <w:multiLevelType w:val="multilevel"/>
    <w:tmpl w:val="36221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20D4CB2"/>
    <w:multiLevelType w:val="multilevel"/>
    <w:tmpl w:val="148C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275601D"/>
    <w:multiLevelType w:val="multilevel"/>
    <w:tmpl w:val="EF80C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66A3C1B"/>
    <w:multiLevelType w:val="multilevel"/>
    <w:tmpl w:val="3288D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FFA0CFA"/>
    <w:multiLevelType w:val="multilevel"/>
    <w:tmpl w:val="1BA03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6A153E7"/>
    <w:multiLevelType w:val="multilevel"/>
    <w:tmpl w:val="39B0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4440DD5"/>
    <w:multiLevelType w:val="multilevel"/>
    <w:tmpl w:val="9E2EB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C795723"/>
    <w:multiLevelType w:val="multilevel"/>
    <w:tmpl w:val="23A6F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263368D"/>
    <w:multiLevelType w:val="multilevel"/>
    <w:tmpl w:val="D706B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07809C7"/>
    <w:multiLevelType w:val="multilevel"/>
    <w:tmpl w:val="B46C4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1563BA6"/>
    <w:multiLevelType w:val="multilevel"/>
    <w:tmpl w:val="0640F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1DB38C0"/>
    <w:multiLevelType w:val="multilevel"/>
    <w:tmpl w:val="DDD49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F2A53EA"/>
    <w:multiLevelType w:val="multilevel"/>
    <w:tmpl w:val="E4F41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89816025">
    <w:abstractNumId w:val="8"/>
  </w:num>
  <w:num w:numId="2" w16cid:durableId="1849782245">
    <w:abstractNumId w:val="6"/>
  </w:num>
  <w:num w:numId="3" w16cid:durableId="68234178">
    <w:abstractNumId w:val="13"/>
  </w:num>
  <w:num w:numId="4" w16cid:durableId="1457680911">
    <w:abstractNumId w:val="12"/>
  </w:num>
  <w:num w:numId="5" w16cid:durableId="306906630">
    <w:abstractNumId w:val="10"/>
  </w:num>
  <w:num w:numId="6" w16cid:durableId="1089430914">
    <w:abstractNumId w:val="7"/>
  </w:num>
  <w:num w:numId="7" w16cid:durableId="990869163">
    <w:abstractNumId w:val="11"/>
  </w:num>
  <w:num w:numId="8" w16cid:durableId="445120986">
    <w:abstractNumId w:val="9"/>
  </w:num>
  <w:num w:numId="9" w16cid:durableId="466826213">
    <w:abstractNumId w:val="5"/>
  </w:num>
  <w:num w:numId="10" w16cid:durableId="1653481153">
    <w:abstractNumId w:val="0"/>
  </w:num>
  <w:num w:numId="11" w16cid:durableId="547494207">
    <w:abstractNumId w:val="1"/>
  </w:num>
  <w:num w:numId="12" w16cid:durableId="911433219">
    <w:abstractNumId w:val="4"/>
  </w:num>
  <w:num w:numId="13" w16cid:durableId="381370288">
    <w:abstractNumId w:val="2"/>
  </w:num>
  <w:num w:numId="14" w16cid:durableId="169634288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6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5DF8"/>
    <w:rsid w:val="00021B2B"/>
    <w:rsid w:val="000301E5"/>
    <w:rsid w:val="000803EA"/>
    <w:rsid w:val="0008074F"/>
    <w:rsid w:val="00184745"/>
    <w:rsid w:val="00294FC5"/>
    <w:rsid w:val="00311384"/>
    <w:rsid w:val="003519F6"/>
    <w:rsid w:val="003704EC"/>
    <w:rsid w:val="00512047"/>
    <w:rsid w:val="005C0E78"/>
    <w:rsid w:val="008A3C71"/>
    <w:rsid w:val="008F47B9"/>
    <w:rsid w:val="009C170F"/>
    <w:rsid w:val="00B35DF8"/>
    <w:rsid w:val="00B93A79"/>
    <w:rsid w:val="00C721DF"/>
    <w:rsid w:val="00C96696"/>
    <w:rsid w:val="00D3710F"/>
    <w:rsid w:val="00E20A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47FD5A"/>
  <w15:chartTrackingRefBased/>
  <w15:docId w15:val="{7B904E6A-15EA-4235-BF05-4FC1385A9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1384"/>
  </w:style>
  <w:style w:type="paragraph" w:styleId="Heading1">
    <w:name w:val="heading 1"/>
    <w:basedOn w:val="Normal"/>
    <w:next w:val="Normal"/>
    <w:link w:val="Heading1Char"/>
    <w:uiPriority w:val="9"/>
    <w:qFormat/>
    <w:rsid w:val="00B35DF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35DF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35DF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35DF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35DF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35DF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35DF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35DF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35DF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5DF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35DF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35DF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35DF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35DF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35DF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35DF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35DF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35DF8"/>
    <w:rPr>
      <w:rFonts w:eastAsiaTheme="majorEastAsia" w:cstheme="majorBidi"/>
      <w:color w:val="272727" w:themeColor="text1" w:themeTint="D8"/>
    </w:rPr>
  </w:style>
  <w:style w:type="paragraph" w:styleId="Title">
    <w:name w:val="Title"/>
    <w:basedOn w:val="Normal"/>
    <w:next w:val="Normal"/>
    <w:link w:val="TitleChar"/>
    <w:uiPriority w:val="10"/>
    <w:qFormat/>
    <w:rsid w:val="00B35DF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35DF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35DF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35DF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35DF8"/>
    <w:pPr>
      <w:spacing w:before="160"/>
      <w:jc w:val="center"/>
    </w:pPr>
    <w:rPr>
      <w:i/>
      <w:iCs/>
      <w:color w:val="404040" w:themeColor="text1" w:themeTint="BF"/>
    </w:rPr>
  </w:style>
  <w:style w:type="character" w:customStyle="1" w:styleId="QuoteChar">
    <w:name w:val="Quote Char"/>
    <w:basedOn w:val="DefaultParagraphFont"/>
    <w:link w:val="Quote"/>
    <w:uiPriority w:val="29"/>
    <w:rsid w:val="00B35DF8"/>
    <w:rPr>
      <w:i/>
      <w:iCs/>
      <w:color w:val="404040" w:themeColor="text1" w:themeTint="BF"/>
    </w:rPr>
  </w:style>
  <w:style w:type="paragraph" w:styleId="ListParagraph">
    <w:name w:val="List Paragraph"/>
    <w:basedOn w:val="Normal"/>
    <w:uiPriority w:val="34"/>
    <w:qFormat/>
    <w:rsid w:val="00B35DF8"/>
    <w:pPr>
      <w:ind w:left="720"/>
      <w:contextualSpacing/>
    </w:pPr>
  </w:style>
  <w:style w:type="character" w:styleId="IntenseEmphasis">
    <w:name w:val="Intense Emphasis"/>
    <w:basedOn w:val="DefaultParagraphFont"/>
    <w:uiPriority w:val="21"/>
    <w:qFormat/>
    <w:rsid w:val="00B35DF8"/>
    <w:rPr>
      <w:i/>
      <w:iCs/>
      <w:color w:val="2F5496" w:themeColor="accent1" w:themeShade="BF"/>
    </w:rPr>
  </w:style>
  <w:style w:type="paragraph" w:styleId="IntenseQuote">
    <w:name w:val="Intense Quote"/>
    <w:basedOn w:val="Normal"/>
    <w:next w:val="Normal"/>
    <w:link w:val="IntenseQuoteChar"/>
    <w:uiPriority w:val="30"/>
    <w:qFormat/>
    <w:rsid w:val="00B35DF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35DF8"/>
    <w:rPr>
      <w:i/>
      <w:iCs/>
      <w:color w:val="2F5496" w:themeColor="accent1" w:themeShade="BF"/>
    </w:rPr>
  </w:style>
  <w:style w:type="character" w:styleId="IntenseReference">
    <w:name w:val="Intense Reference"/>
    <w:basedOn w:val="DefaultParagraphFont"/>
    <w:uiPriority w:val="32"/>
    <w:qFormat/>
    <w:rsid w:val="00B35DF8"/>
    <w:rPr>
      <w:b/>
      <w:bCs/>
      <w:smallCaps/>
      <w:color w:val="2F5496" w:themeColor="accent1" w:themeShade="BF"/>
      <w:spacing w:val="5"/>
    </w:rPr>
  </w:style>
  <w:style w:type="character" w:styleId="Hyperlink">
    <w:name w:val="Hyperlink"/>
    <w:basedOn w:val="DefaultParagraphFont"/>
    <w:uiPriority w:val="99"/>
    <w:unhideWhenUsed/>
    <w:rsid w:val="00B35DF8"/>
    <w:rPr>
      <w:color w:val="0563C1" w:themeColor="hyperlink"/>
      <w:u w:val="single"/>
    </w:rPr>
  </w:style>
  <w:style w:type="character" w:styleId="UnresolvedMention">
    <w:name w:val="Unresolved Mention"/>
    <w:basedOn w:val="DefaultParagraphFont"/>
    <w:uiPriority w:val="99"/>
    <w:semiHidden/>
    <w:unhideWhenUsed/>
    <w:rsid w:val="00B35DF8"/>
    <w:rPr>
      <w:color w:val="605E5C"/>
      <w:shd w:val="clear" w:color="auto" w:fill="E1DFDD"/>
    </w:rPr>
  </w:style>
  <w:style w:type="paragraph" w:styleId="Header">
    <w:name w:val="header"/>
    <w:basedOn w:val="Normal"/>
    <w:link w:val="HeaderChar"/>
    <w:uiPriority w:val="99"/>
    <w:unhideWhenUsed/>
    <w:rsid w:val="00B35D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5DF8"/>
  </w:style>
  <w:style w:type="paragraph" w:styleId="Footer">
    <w:name w:val="footer"/>
    <w:basedOn w:val="Normal"/>
    <w:link w:val="FooterChar"/>
    <w:uiPriority w:val="99"/>
    <w:unhideWhenUsed/>
    <w:rsid w:val="00B35D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5DF8"/>
  </w:style>
  <w:style w:type="character" w:styleId="Strong">
    <w:name w:val="Strong"/>
    <w:basedOn w:val="DefaultParagraphFont"/>
    <w:uiPriority w:val="22"/>
    <w:qFormat/>
    <w:rsid w:val="000803EA"/>
    <w:rPr>
      <w:b/>
      <w:bCs/>
    </w:rPr>
  </w:style>
  <w:style w:type="paragraph" w:styleId="NormalWeb">
    <w:name w:val="Normal (Web)"/>
    <w:basedOn w:val="Normal"/>
    <w:uiPriority w:val="99"/>
    <w:semiHidden/>
    <w:unhideWhenUsed/>
    <w:rsid w:val="000803EA"/>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styleId="Caption">
    <w:name w:val="caption"/>
    <w:basedOn w:val="Normal"/>
    <w:next w:val="Normal"/>
    <w:uiPriority w:val="35"/>
    <w:unhideWhenUsed/>
    <w:qFormat/>
    <w:rsid w:val="00021B2B"/>
    <w:pPr>
      <w:spacing w:after="200" w:line="240" w:lineRule="auto"/>
    </w:pPr>
    <w:rPr>
      <w:i/>
      <w:iCs/>
      <w:color w:val="44546A" w:themeColor="text2"/>
      <w:sz w:val="18"/>
      <w:szCs w:val="18"/>
    </w:rPr>
  </w:style>
  <w:style w:type="character" w:styleId="PlaceholderText">
    <w:name w:val="Placeholder Text"/>
    <w:basedOn w:val="DefaultParagraphFont"/>
    <w:uiPriority w:val="99"/>
    <w:semiHidden/>
    <w:rsid w:val="00B93A7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ktslimited.co.uk/wp-content/uploads/go-x/u/396f1258-051a-491d-9a08-c4638a1fe56c/KTS_Piping_Specification_PIP-001-REV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TotalTime>
  <Pages>6</Pages>
  <Words>1429</Words>
  <Characters>8148</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Jerry Kearns</dc:creator>
  <cp:keywords/>
  <dc:description/>
  <cp:lastModifiedBy>Jerry Kearns</cp:lastModifiedBy>
  <cp:revision>3</cp:revision>
  <dcterms:created xsi:type="dcterms:W3CDTF">2025-11-10T18:30:00Z</dcterms:created>
  <dcterms:modified xsi:type="dcterms:W3CDTF">2025-11-10T22:52:00Z</dcterms:modified>
</cp:coreProperties>
</file>